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BDE55" w14:textId="3BD7C3E9" w:rsidR="00BF0E89" w:rsidRDefault="00BF0E89" w:rsidP="00BF0E89">
      <w:pPr>
        <w:spacing w:after="480"/>
      </w:pPr>
      <w:r>
        <w:rPr>
          <w:rFonts w:ascii="Arial Black" w:hAnsi="Arial Black"/>
          <w:noProof/>
          <w:color w:val="999999"/>
          <w:sz w:val="36"/>
          <w:szCs w:val="36"/>
          <w:lang w:eastAsia="en-GB"/>
        </w:rPr>
        <w:drawing>
          <wp:inline distT="0" distB="0" distL="0" distR="0" wp14:anchorId="2CB4FD8E" wp14:editId="366FED0E">
            <wp:extent cx="2009775" cy="495935"/>
            <wp:effectExtent l="0" t="0" r="9525" b="0"/>
            <wp:docPr id="1" name="Picture 1"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BF0E89" w14:paraId="58CA4A70" w14:textId="77777777" w:rsidTr="00D34BE2">
        <w:trPr>
          <w:tblHeader/>
        </w:trPr>
        <w:tc>
          <w:tcPr>
            <w:tcW w:w="3456" w:type="dxa"/>
            <w:tcBorders>
              <w:bottom w:val="single" w:sz="18" w:space="0" w:color="auto"/>
            </w:tcBorders>
          </w:tcPr>
          <w:p w14:paraId="55CD24AA" w14:textId="77777777" w:rsidR="00BF0E89" w:rsidRPr="00B805DB" w:rsidRDefault="00BF0E89" w:rsidP="00D34BE2">
            <w:pPr>
              <w:pStyle w:val="Heading1"/>
              <w:spacing w:after="240"/>
              <w:outlineLvl w:val="0"/>
            </w:pPr>
            <w:r>
              <w:t>Report f</w:t>
            </w:r>
            <w:r w:rsidRPr="00C869F3">
              <w:t>or:</w:t>
            </w:r>
          </w:p>
        </w:tc>
        <w:tc>
          <w:tcPr>
            <w:tcW w:w="5054" w:type="dxa"/>
            <w:tcBorders>
              <w:bottom w:val="single" w:sz="18" w:space="0" w:color="auto"/>
            </w:tcBorders>
          </w:tcPr>
          <w:p w14:paraId="3A047A08" w14:textId="77777777" w:rsidR="00BF0E89" w:rsidRPr="005E3A10" w:rsidRDefault="00BF0E89" w:rsidP="00D34BE2">
            <w:pPr>
              <w:pStyle w:val="Heading1"/>
              <w:outlineLvl w:val="0"/>
              <w:rPr>
                <w:szCs w:val="24"/>
              </w:rPr>
            </w:pPr>
            <w:r w:rsidRPr="005E3A10">
              <w:t>Cabinet</w:t>
            </w:r>
          </w:p>
        </w:tc>
      </w:tr>
      <w:tr w:rsidR="00BF0E89" w14:paraId="39CA6662" w14:textId="77777777" w:rsidTr="00D34BE2">
        <w:tc>
          <w:tcPr>
            <w:tcW w:w="3456" w:type="dxa"/>
            <w:tcBorders>
              <w:top w:val="single" w:sz="18" w:space="0" w:color="auto"/>
            </w:tcBorders>
          </w:tcPr>
          <w:p w14:paraId="63969A1B" w14:textId="77777777" w:rsidR="00BF0E89" w:rsidRPr="00C13A5F" w:rsidRDefault="00BF0E89" w:rsidP="00D34BE2">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23A2DB79" w14:textId="3BED77ED" w:rsidR="00BF0E89" w:rsidRPr="005E3A10" w:rsidRDefault="00BF0E89" w:rsidP="00D34BE2">
            <w:pPr>
              <w:rPr>
                <w:rFonts w:cs="Arial"/>
                <w:szCs w:val="24"/>
              </w:rPr>
            </w:pPr>
            <w:r>
              <w:rPr>
                <w:rFonts w:cs="Arial"/>
                <w:szCs w:val="24"/>
              </w:rPr>
              <w:t>27 May 2021</w:t>
            </w:r>
          </w:p>
        </w:tc>
      </w:tr>
      <w:tr w:rsidR="00BF0E89" w14:paraId="66D50F0A" w14:textId="77777777" w:rsidTr="00D34BE2">
        <w:tc>
          <w:tcPr>
            <w:tcW w:w="3456" w:type="dxa"/>
          </w:tcPr>
          <w:p w14:paraId="24C684A3" w14:textId="77777777" w:rsidR="00BF0E89" w:rsidRPr="00C13A5F" w:rsidRDefault="00BF0E89" w:rsidP="00D34BE2">
            <w:pPr>
              <w:pStyle w:val="Infotext"/>
              <w:spacing w:after="240"/>
              <w:rPr>
                <w:rFonts w:ascii="Arial Black" w:hAnsi="Arial Black"/>
              </w:rPr>
            </w:pPr>
            <w:r w:rsidRPr="00C13A5F">
              <w:rPr>
                <w:rFonts w:ascii="Arial Black" w:hAnsi="Arial Black" w:cs="Arial"/>
              </w:rPr>
              <w:t>Subject:</w:t>
            </w:r>
          </w:p>
        </w:tc>
        <w:tc>
          <w:tcPr>
            <w:tcW w:w="5054" w:type="dxa"/>
          </w:tcPr>
          <w:p w14:paraId="500F0A2C" w14:textId="77777777" w:rsidR="00BF0E89" w:rsidRPr="005E3A10" w:rsidRDefault="00BF0E89" w:rsidP="00BF0E89">
            <w:pPr>
              <w:rPr>
                <w:rFonts w:cs="Arial"/>
                <w:szCs w:val="24"/>
              </w:rPr>
            </w:pPr>
            <w:r>
              <w:rPr>
                <w:rFonts w:cs="Arial"/>
                <w:szCs w:val="24"/>
              </w:rPr>
              <w:t xml:space="preserve">Discretionary Business Rates Retail Relief Scheme for 2021/22 </w:t>
            </w:r>
          </w:p>
          <w:p w14:paraId="6EDB1C2E" w14:textId="77777777" w:rsidR="00BF0E89" w:rsidRPr="005E3A10" w:rsidRDefault="00BF0E89" w:rsidP="00D34BE2">
            <w:pPr>
              <w:rPr>
                <w:rFonts w:cs="Arial"/>
                <w:szCs w:val="24"/>
              </w:rPr>
            </w:pPr>
          </w:p>
        </w:tc>
      </w:tr>
      <w:tr w:rsidR="00BF0E89" w14:paraId="1A4463FC" w14:textId="77777777" w:rsidTr="00D34BE2">
        <w:tc>
          <w:tcPr>
            <w:tcW w:w="3456" w:type="dxa"/>
          </w:tcPr>
          <w:p w14:paraId="16AED611" w14:textId="77777777" w:rsidR="00BF0E89" w:rsidRPr="00C13A5F" w:rsidRDefault="00BF0E89" w:rsidP="00D34BE2">
            <w:pPr>
              <w:pStyle w:val="Infotext"/>
              <w:spacing w:after="240"/>
              <w:rPr>
                <w:rFonts w:ascii="Arial Black" w:hAnsi="Arial Black" w:cs="Arial"/>
              </w:rPr>
            </w:pPr>
            <w:r w:rsidRPr="00C13A5F">
              <w:rPr>
                <w:rFonts w:ascii="Arial Black" w:hAnsi="Arial Black" w:cs="Arial"/>
              </w:rPr>
              <w:t>Key Decision:</w:t>
            </w:r>
          </w:p>
        </w:tc>
        <w:tc>
          <w:tcPr>
            <w:tcW w:w="5054" w:type="dxa"/>
          </w:tcPr>
          <w:p w14:paraId="6D599BB6" w14:textId="393C26A1" w:rsidR="00BF0E89" w:rsidRPr="005E3A10" w:rsidRDefault="00BF0E89" w:rsidP="00D34BE2">
            <w:pPr>
              <w:pStyle w:val="Infotext"/>
              <w:rPr>
                <w:rFonts w:cs="Arial"/>
                <w:color w:val="FF0000"/>
                <w:sz w:val="24"/>
                <w:szCs w:val="24"/>
              </w:rPr>
            </w:pPr>
            <w:r w:rsidRPr="005E3A10">
              <w:rPr>
                <w:rFonts w:cs="Arial"/>
                <w:sz w:val="24"/>
                <w:szCs w:val="24"/>
              </w:rPr>
              <w:t>Yes</w:t>
            </w:r>
          </w:p>
          <w:p w14:paraId="21B7910D" w14:textId="77777777" w:rsidR="00BF0E89" w:rsidRPr="005E3A10" w:rsidRDefault="00BF0E89" w:rsidP="00D34BE2">
            <w:pPr>
              <w:rPr>
                <w:rFonts w:cs="Arial"/>
                <w:szCs w:val="24"/>
              </w:rPr>
            </w:pPr>
          </w:p>
        </w:tc>
      </w:tr>
      <w:tr w:rsidR="00BF0E89" w14:paraId="243232FE" w14:textId="77777777" w:rsidTr="00D34BE2">
        <w:tc>
          <w:tcPr>
            <w:tcW w:w="3456" w:type="dxa"/>
          </w:tcPr>
          <w:p w14:paraId="4CBC803B" w14:textId="77777777" w:rsidR="00BF0E89" w:rsidRPr="00C13A5F" w:rsidRDefault="00BF0E89" w:rsidP="00D34BE2">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1451E105" w14:textId="17F2FE75" w:rsidR="00BF0E89" w:rsidRPr="005E3A10" w:rsidRDefault="00BF0E89" w:rsidP="00BF0E89">
            <w:pPr>
              <w:rPr>
                <w:rFonts w:cs="Arial"/>
                <w:szCs w:val="24"/>
              </w:rPr>
            </w:pPr>
            <w:r>
              <w:rPr>
                <w:bCs/>
                <w:szCs w:val="24"/>
              </w:rPr>
              <w:t xml:space="preserve">Dawn Calvert - </w:t>
            </w:r>
            <w:r w:rsidRPr="00A961E8">
              <w:rPr>
                <w:bCs/>
                <w:szCs w:val="24"/>
              </w:rPr>
              <w:t>Director of Finance</w:t>
            </w:r>
          </w:p>
        </w:tc>
      </w:tr>
      <w:tr w:rsidR="00BF0E89" w14:paraId="043A3237" w14:textId="77777777" w:rsidTr="00D34BE2">
        <w:tc>
          <w:tcPr>
            <w:tcW w:w="3456" w:type="dxa"/>
          </w:tcPr>
          <w:p w14:paraId="34DAFA43" w14:textId="77777777" w:rsidR="00BF0E89" w:rsidRPr="00C13A5F" w:rsidRDefault="00BF0E89" w:rsidP="00D34BE2">
            <w:pPr>
              <w:pStyle w:val="Infotext"/>
              <w:spacing w:after="240"/>
              <w:rPr>
                <w:rFonts w:ascii="Arial Black" w:hAnsi="Arial Black"/>
              </w:rPr>
            </w:pPr>
            <w:r w:rsidRPr="00DB6C3D">
              <w:rPr>
                <w:rFonts w:ascii="Arial Black" w:hAnsi="Arial Black"/>
              </w:rPr>
              <w:t>Portfolio Holder:</w:t>
            </w:r>
          </w:p>
        </w:tc>
        <w:tc>
          <w:tcPr>
            <w:tcW w:w="5054" w:type="dxa"/>
          </w:tcPr>
          <w:p w14:paraId="2D03DA59" w14:textId="2157D4DA" w:rsidR="00BF0E89" w:rsidRDefault="00BF0E89" w:rsidP="00D34BE2">
            <w:pPr>
              <w:pStyle w:val="Infotext"/>
              <w:rPr>
                <w:rFonts w:cs="Arial"/>
                <w:sz w:val="24"/>
                <w:szCs w:val="24"/>
              </w:rPr>
            </w:pPr>
            <w:r w:rsidRPr="00F30904">
              <w:rPr>
                <w:rFonts w:cs="Arial"/>
                <w:sz w:val="24"/>
                <w:szCs w:val="24"/>
              </w:rPr>
              <w:t>Councillor Natasha Proctor - Deputy Leader and Portfolio Holder for Finance and Resources; Councillor Keith Ferry – Portfolio Holder for Business, Property and Leisure</w:t>
            </w:r>
          </w:p>
          <w:p w14:paraId="096F0C5E" w14:textId="5E097CC1" w:rsidR="00BF0E89" w:rsidRPr="005E3A10" w:rsidRDefault="00BF0E89" w:rsidP="00D34BE2">
            <w:pPr>
              <w:pStyle w:val="Infotext"/>
              <w:rPr>
                <w:rFonts w:cs="Arial"/>
                <w:color w:val="FF0000"/>
                <w:sz w:val="24"/>
                <w:szCs w:val="24"/>
              </w:rPr>
            </w:pPr>
          </w:p>
        </w:tc>
      </w:tr>
      <w:tr w:rsidR="00BF0E89" w14:paraId="25D0CED2" w14:textId="77777777" w:rsidTr="00D34BE2">
        <w:tc>
          <w:tcPr>
            <w:tcW w:w="3456" w:type="dxa"/>
          </w:tcPr>
          <w:p w14:paraId="47A52712" w14:textId="77777777" w:rsidR="00BF0E89" w:rsidRPr="00C13A5F" w:rsidRDefault="00BF0E89" w:rsidP="00D34BE2">
            <w:pPr>
              <w:pStyle w:val="Infotext"/>
              <w:spacing w:after="240"/>
              <w:rPr>
                <w:rFonts w:ascii="Arial Black" w:hAnsi="Arial Black"/>
              </w:rPr>
            </w:pPr>
            <w:r w:rsidRPr="00DB6C3D">
              <w:rPr>
                <w:rFonts w:ascii="Arial Black" w:hAnsi="Arial Black"/>
              </w:rPr>
              <w:t>Exempt:</w:t>
            </w:r>
          </w:p>
        </w:tc>
        <w:tc>
          <w:tcPr>
            <w:tcW w:w="5054" w:type="dxa"/>
          </w:tcPr>
          <w:p w14:paraId="25D8B522" w14:textId="07DC40D5" w:rsidR="00BF0E89" w:rsidRPr="005E3A10" w:rsidRDefault="00BF0E89" w:rsidP="00D34BE2">
            <w:pPr>
              <w:pStyle w:val="Infotext"/>
              <w:rPr>
                <w:rFonts w:cs="Arial"/>
                <w:sz w:val="24"/>
                <w:szCs w:val="24"/>
              </w:rPr>
            </w:pPr>
            <w:r w:rsidRPr="005E3A10">
              <w:rPr>
                <w:rFonts w:cs="Arial"/>
                <w:sz w:val="24"/>
                <w:szCs w:val="24"/>
              </w:rPr>
              <w:t>No</w:t>
            </w:r>
          </w:p>
          <w:p w14:paraId="30AE326A" w14:textId="77777777" w:rsidR="00BF0E89" w:rsidRPr="005E3A10" w:rsidRDefault="00BF0E89" w:rsidP="00BF0E89">
            <w:pPr>
              <w:pStyle w:val="Infotext"/>
              <w:rPr>
                <w:rFonts w:cs="Arial"/>
                <w:color w:val="FF0000"/>
                <w:sz w:val="24"/>
                <w:szCs w:val="24"/>
              </w:rPr>
            </w:pPr>
          </w:p>
        </w:tc>
      </w:tr>
      <w:tr w:rsidR="00BF0E89" w14:paraId="24FA80C7" w14:textId="77777777" w:rsidTr="00D34BE2">
        <w:tc>
          <w:tcPr>
            <w:tcW w:w="3456" w:type="dxa"/>
          </w:tcPr>
          <w:p w14:paraId="569B1E9C" w14:textId="77777777" w:rsidR="00BF0E89" w:rsidRPr="00C13A5F" w:rsidRDefault="00BF0E89" w:rsidP="00D34BE2">
            <w:pPr>
              <w:pStyle w:val="Infotext"/>
              <w:spacing w:after="240"/>
              <w:rPr>
                <w:rFonts w:ascii="Arial Black" w:hAnsi="Arial Black"/>
              </w:rPr>
            </w:pPr>
            <w:r w:rsidRPr="00DB6C3D">
              <w:rPr>
                <w:rFonts w:ascii="Arial Black" w:hAnsi="Arial Black"/>
              </w:rPr>
              <w:t>Decision subject to Call-in:</w:t>
            </w:r>
          </w:p>
        </w:tc>
        <w:tc>
          <w:tcPr>
            <w:tcW w:w="5054" w:type="dxa"/>
          </w:tcPr>
          <w:p w14:paraId="3AE6027E" w14:textId="27AFDD35" w:rsidR="00BF0E89" w:rsidRPr="005E3A10" w:rsidRDefault="00BF0E89" w:rsidP="00BF0E89">
            <w:pPr>
              <w:pStyle w:val="Infotext"/>
              <w:rPr>
                <w:rFonts w:cs="Arial"/>
                <w:szCs w:val="24"/>
              </w:rPr>
            </w:pPr>
            <w:r w:rsidRPr="005E3A10">
              <w:rPr>
                <w:rFonts w:cs="Arial"/>
                <w:sz w:val="24"/>
                <w:szCs w:val="24"/>
              </w:rPr>
              <w:t xml:space="preserve">Yes </w:t>
            </w:r>
          </w:p>
        </w:tc>
      </w:tr>
      <w:tr w:rsidR="00BF0E89" w14:paraId="2BDDD8DB" w14:textId="77777777" w:rsidTr="00D34BE2">
        <w:tc>
          <w:tcPr>
            <w:tcW w:w="3456" w:type="dxa"/>
          </w:tcPr>
          <w:p w14:paraId="392B2670" w14:textId="77777777" w:rsidR="00BF0E89" w:rsidRPr="00C13A5F" w:rsidRDefault="00BF0E89" w:rsidP="00D34BE2">
            <w:pPr>
              <w:pStyle w:val="Infotext"/>
              <w:spacing w:after="240"/>
              <w:rPr>
                <w:rFonts w:ascii="Arial Black" w:hAnsi="Arial Black" w:cs="Arial"/>
              </w:rPr>
            </w:pPr>
            <w:r>
              <w:rPr>
                <w:rFonts w:ascii="Arial Black" w:hAnsi="Arial Black" w:cs="Arial"/>
              </w:rPr>
              <w:t>Wards affected:</w:t>
            </w:r>
          </w:p>
        </w:tc>
        <w:tc>
          <w:tcPr>
            <w:tcW w:w="5054" w:type="dxa"/>
          </w:tcPr>
          <w:p w14:paraId="72C5DDE0" w14:textId="49B89613" w:rsidR="00BF0E89" w:rsidRPr="00307F76" w:rsidRDefault="00BF0E89" w:rsidP="00D34BE2">
            <w:pPr>
              <w:rPr>
                <w:rFonts w:cs="Arial"/>
                <w:b/>
                <w:color w:val="FF0000"/>
                <w:szCs w:val="24"/>
              </w:rPr>
            </w:pPr>
            <w:r>
              <w:rPr>
                <w:rFonts w:cs="Arial"/>
                <w:szCs w:val="24"/>
              </w:rPr>
              <w:t>All</w:t>
            </w:r>
          </w:p>
        </w:tc>
      </w:tr>
      <w:tr w:rsidR="00BF0E89" w14:paraId="1777B3C8" w14:textId="77777777" w:rsidTr="00D34BE2">
        <w:trPr>
          <w:trHeight w:val="425"/>
        </w:trPr>
        <w:tc>
          <w:tcPr>
            <w:tcW w:w="3456" w:type="dxa"/>
          </w:tcPr>
          <w:p w14:paraId="78D51469" w14:textId="77777777" w:rsidR="00BF0E89" w:rsidRPr="00C13A5F" w:rsidRDefault="00BF0E89" w:rsidP="00D34BE2">
            <w:pPr>
              <w:pStyle w:val="Infotext"/>
              <w:spacing w:after="240"/>
              <w:rPr>
                <w:rFonts w:ascii="Arial Black" w:hAnsi="Arial Black" w:cs="Arial"/>
              </w:rPr>
            </w:pPr>
            <w:r w:rsidRPr="00C13A5F">
              <w:rPr>
                <w:rFonts w:ascii="Arial Black" w:hAnsi="Arial Black" w:cs="Arial"/>
              </w:rPr>
              <w:t>Enclosures:</w:t>
            </w:r>
          </w:p>
        </w:tc>
        <w:tc>
          <w:tcPr>
            <w:tcW w:w="5054" w:type="dxa"/>
          </w:tcPr>
          <w:p w14:paraId="1DE659D0" w14:textId="49623370" w:rsidR="00BF0E89" w:rsidRDefault="00BF0E89" w:rsidP="00BF0E89">
            <w:pPr>
              <w:pStyle w:val="Infotext"/>
              <w:rPr>
                <w:sz w:val="24"/>
                <w:szCs w:val="24"/>
              </w:rPr>
            </w:pPr>
            <w:r w:rsidRPr="00283888">
              <w:rPr>
                <w:sz w:val="24"/>
                <w:szCs w:val="24"/>
              </w:rPr>
              <w:t>Appendix 1 – Draft Discretionary Retail Relief scheme</w:t>
            </w:r>
          </w:p>
          <w:p w14:paraId="575C360A" w14:textId="77777777" w:rsidR="00BF0E89" w:rsidRDefault="00BF0E89" w:rsidP="00BF0E89">
            <w:pPr>
              <w:pStyle w:val="Infotext"/>
              <w:rPr>
                <w:sz w:val="24"/>
                <w:szCs w:val="24"/>
              </w:rPr>
            </w:pPr>
          </w:p>
          <w:p w14:paraId="5066EBFA" w14:textId="2910383C" w:rsidR="00BF0E89" w:rsidRPr="005E3A10" w:rsidRDefault="00BF0E89" w:rsidP="00BF0E89">
            <w:pPr>
              <w:pStyle w:val="Infotext"/>
              <w:rPr>
                <w:color w:val="FF0000"/>
                <w:sz w:val="24"/>
                <w:szCs w:val="24"/>
              </w:rPr>
            </w:pPr>
            <w:r w:rsidRPr="009B2CA4">
              <w:rPr>
                <w:sz w:val="24"/>
                <w:szCs w:val="24"/>
              </w:rPr>
              <w:t>Appendix 2 – MHCLG Retail Relief letter to local authorities dated January 2021</w:t>
            </w:r>
          </w:p>
        </w:tc>
      </w:tr>
    </w:tbl>
    <w:p w14:paraId="5665DE71" w14:textId="6638D0F4" w:rsidR="00BF0E89" w:rsidRDefault="00BF0E89"/>
    <w:tbl>
      <w:tblPr>
        <w:tblW w:w="0" w:type="auto"/>
        <w:tblLook w:val="0000" w:firstRow="0" w:lastRow="0" w:firstColumn="0" w:lastColumn="0" w:noHBand="0" w:noVBand="0"/>
      </w:tblPr>
      <w:tblGrid>
        <w:gridCol w:w="3387"/>
        <w:gridCol w:w="4908"/>
      </w:tblGrid>
      <w:tr w:rsidR="00333FAA" w14:paraId="547960E2" w14:textId="77777777" w:rsidTr="00BF0E89">
        <w:tc>
          <w:tcPr>
            <w:tcW w:w="3387" w:type="dxa"/>
          </w:tcPr>
          <w:p w14:paraId="4F0CEC82" w14:textId="77777777" w:rsidR="00333FAA" w:rsidRDefault="00333FAA" w:rsidP="00A53B04">
            <w:pPr>
              <w:pStyle w:val="Infotext"/>
              <w:rPr>
                <w:rFonts w:ascii="Arial Black" w:hAnsi="Arial Black" w:cs="Arial"/>
              </w:rPr>
            </w:pPr>
          </w:p>
          <w:p w14:paraId="73827730" w14:textId="77777777" w:rsidR="00BF0E89" w:rsidRDefault="00BF0E89" w:rsidP="00A53B04">
            <w:pPr>
              <w:pStyle w:val="Infotext"/>
              <w:rPr>
                <w:rFonts w:ascii="Arial Black" w:hAnsi="Arial Black" w:cs="Arial"/>
              </w:rPr>
            </w:pPr>
          </w:p>
          <w:p w14:paraId="2545E723" w14:textId="3DDA1C75" w:rsidR="00BF0E89" w:rsidRPr="00C13A5F" w:rsidRDefault="00BF0E89" w:rsidP="00A53B04">
            <w:pPr>
              <w:pStyle w:val="Infotext"/>
              <w:rPr>
                <w:rFonts w:ascii="Arial Black" w:hAnsi="Arial Black" w:cs="Arial"/>
              </w:rPr>
            </w:pPr>
          </w:p>
        </w:tc>
        <w:tc>
          <w:tcPr>
            <w:tcW w:w="4908" w:type="dxa"/>
          </w:tcPr>
          <w:p w14:paraId="05C0E762" w14:textId="0791FC1F" w:rsidR="00333FAA" w:rsidRPr="005E3A10" w:rsidRDefault="00333FAA" w:rsidP="00DC7FD5">
            <w:pPr>
              <w:pStyle w:val="Infotext"/>
              <w:rPr>
                <w:rFonts w:cs="Arial"/>
                <w:szCs w:val="24"/>
              </w:rPr>
            </w:pPr>
          </w:p>
        </w:tc>
      </w:tr>
      <w:tr w:rsidR="001C7E35" w14:paraId="48DE66E8" w14:textId="77777777" w:rsidTr="00BF0E89">
        <w:tc>
          <w:tcPr>
            <w:tcW w:w="3387" w:type="dxa"/>
          </w:tcPr>
          <w:p w14:paraId="7BAD7121" w14:textId="77777777" w:rsidR="001C7E35" w:rsidRPr="00C13A5F" w:rsidRDefault="001C7E35" w:rsidP="00A53B04">
            <w:pPr>
              <w:pStyle w:val="Infotext"/>
              <w:rPr>
                <w:rFonts w:ascii="Arial Black" w:hAnsi="Arial Black" w:cs="Arial"/>
              </w:rPr>
            </w:pPr>
          </w:p>
        </w:tc>
        <w:tc>
          <w:tcPr>
            <w:tcW w:w="4908" w:type="dxa"/>
          </w:tcPr>
          <w:p w14:paraId="11FA42B9" w14:textId="77777777" w:rsidR="001C7E35" w:rsidRPr="005E3A10" w:rsidRDefault="001C7E35" w:rsidP="00BF0E89">
            <w:pPr>
              <w:rPr>
                <w:rFonts w:cs="Arial"/>
                <w:szCs w:val="24"/>
              </w:rPr>
            </w:pPr>
          </w:p>
        </w:tc>
      </w:tr>
      <w:tr w:rsidR="001C7E35" w14:paraId="39CE51BD" w14:textId="77777777" w:rsidTr="00BF0E89">
        <w:tc>
          <w:tcPr>
            <w:tcW w:w="3387" w:type="dxa"/>
          </w:tcPr>
          <w:p w14:paraId="10A69CF4" w14:textId="77777777" w:rsidR="001C7E35" w:rsidRPr="00C13A5F" w:rsidRDefault="001C7E35" w:rsidP="00A53B04">
            <w:pPr>
              <w:pStyle w:val="BodyText"/>
              <w:rPr>
                <w:rFonts w:ascii="Arial Black" w:hAnsi="Arial Black"/>
              </w:rPr>
            </w:pPr>
          </w:p>
        </w:tc>
        <w:tc>
          <w:tcPr>
            <w:tcW w:w="4908" w:type="dxa"/>
          </w:tcPr>
          <w:p w14:paraId="427912AD" w14:textId="77777777" w:rsidR="001C7E35" w:rsidRPr="005E3A10" w:rsidRDefault="001C7E35" w:rsidP="00D835CF">
            <w:pPr>
              <w:pStyle w:val="Infotext"/>
              <w:rPr>
                <w:rFonts w:cs="Arial"/>
                <w:color w:val="FF0000"/>
                <w:sz w:val="24"/>
                <w:szCs w:val="24"/>
              </w:rPr>
            </w:pPr>
          </w:p>
        </w:tc>
      </w:tr>
      <w:tr w:rsidR="001C7E35" w14:paraId="61D590A1" w14:textId="77777777" w:rsidTr="00BF0E89">
        <w:tc>
          <w:tcPr>
            <w:tcW w:w="3387" w:type="dxa"/>
          </w:tcPr>
          <w:p w14:paraId="358DA188" w14:textId="77777777" w:rsidR="001C7E35" w:rsidRPr="00C13A5F" w:rsidRDefault="001C7E35" w:rsidP="00A53B04">
            <w:pPr>
              <w:pStyle w:val="BodyText"/>
              <w:rPr>
                <w:rFonts w:ascii="Arial Black" w:hAnsi="Arial Black"/>
              </w:rPr>
            </w:pPr>
          </w:p>
        </w:tc>
        <w:tc>
          <w:tcPr>
            <w:tcW w:w="4908" w:type="dxa"/>
          </w:tcPr>
          <w:p w14:paraId="1F06C58E" w14:textId="77777777" w:rsidR="001C7E35" w:rsidRPr="005E3A10" w:rsidRDefault="001C7E35" w:rsidP="00DC7FD5">
            <w:pPr>
              <w:pStyle w:val="Infotext"/>
              <w:rPr>
                <w:rFonts w:cs="Arial"/>
                <w:color w:val="FF0000"/>
                <w:sz w:val="24"/>
                <w:szCs w:val="24"/>
              </w:rPr>
            </w:pPr>
          </w:p>
        </w:tc>
      </w:tr>
      <w:tr w:rsidR="001C7E35" w14:paraId="09596946" w14:textId="77777777" w:rsidTr="00BF0E89">
        <w:tc>
          <w:tcPr>
            <w:tcW w:w="3387" w:type="dxa"/>
          </w:tcPr>
          <w:p w14:paraId="659E90C4" w14:textId="77777777" w:rsidR="001C7E35" w:rsidRPr="00C13A5F" w:rsidRDefault="001C7E35" w:rsidP="00A53B04">
            <w:pPr>
              <w:pStyle w:val="BodyText"/>
              <w:rPr>
                <w:rFonts w:ascii="Arial Black" w:hAnsi="Arial Black"/>
              </w:rPr>
            </w:pPr>
          </w:p>
        </w:tc>
        <w:tc>
          <w:tcPr>
            <w:tcW w:w="4908" w:type="dxa"/>
          </w:tcPr>
          <w:p w14:paraId="0F249449" w14:textId="0681E69D" w:rsidR="00714BEE" w:rsidRPr="005E3A10" w:rsidRDefault="00714BEE" w:rsidP="00DC7FD5">
            <w:pPr>
              <w:pStyle w:val="Infotext"/>
              <w:rPr>
                <w:rFonts w:cs="Arial"/>
                <w:szCs w:val="24"/>
              </w:rPr>
            </w:pPr>
          </w:p>
        </w:tc>
      </w:tr>
      <w:tr w:rsidR="001C7E35" w14:paraId="13381C28" w14:textId="77777777" w:rsidTr="00BF0E89">
        <w:tc>
          <w:tcPr>
            <w:tcW w:w="3387" w:type="dxa"/>
          </w:tcPr>
          <w:p w14:paraId="13BC7F3C" w14:textId="77777777" w:rsidR="001C7E35" w:rsidRPr="00C13A5F" w:rsidRDefault="001C7E35" w:rsidP="00A53B04">
            <w:pPr>
              <w:pStyle w:val="Infotext"/>
              <w:rPr>
                <w:rFonts w:ascii="Arial Black" w:hAnsi="Arial Black" w:cs="Arial"/>
              </w:rPr>
            </w:pPr>
          </w:p>
        </w:tc>
        <w:tc>
          <w:tcPr>
            <w:tcW w:w="4908" w:type="dxa"/>
          </w:tcPr>
          <w:p w14:paraId="4169CF07" w14:textId="4078D519" w:rsidR="00307F76" w:rsidRPr="00307F76" w:rsidRDefault="00307F76" w:rsidP="00DC7FD5">
            <w:pPr>
              <w:rPr>
                <w:rFonts w:cs="Arial"/>
                <w:b/>
                <w:color w:val="FF0000"/>
                <w:szCs w:val="24"/>
              </w:rPr>
            </w:pPr>
          </w:p>
        </w:tc>
      </w:tr>
      <w:tr w:rsidR="001C7E35" w14:paraId="65D6965B" w14:textId="77777777" w:rsidTr="00BF0E89">
        <w:tc>
          <w:tcPr>
            <w:tcW w:w="3387" w:type="dxa"/>
          </w:tcPr>
          <w:p w14:paraId="21E922C7" w14:textId="77777777" w:rsidR="001C7E35" w:rsidRPr="00C13A5F" w:rsidRDefault="001C7E35" w:rsidP="00A53B04">
            <w:pPr>
              <w:pStyle w:val="Infotext"/>
              <w:rPr>
                <w:rFonts w:ascii="Arial Black" w:hAnsi="Arial Black" w:cs="Arial"/>
              </w:rPr>
            </w:pPr>
          </w:p>
        </w:tc>
        <w:tc>
          <w:tcPr>
            <w:tcW w:w="4908" w:type="dxa"/>
          </w:tcPr>
          <w:p w14:paraId="07E7E205" w14:textId="2CA9C96B" w:rsidR="009B2CA4" w:rsidRPr="005E3A10" w:rsidRDefault="009B2CA4" w:rsidP="00DC7FD5">
            <w:pPr>
              <w:pStyle w:val="Infotext"/>
              <w:rPr>
                <w:color w:val="FF0000"/>
                <w:sz w:val="24"/>
                <w:szCs w:val="24"/>
              </w:rPr>
            </w:pPr>
          </w:p>
        </w:tc>
      </w:tr>
    </w:tbl>
    <w:p w14:paraId="74531844" w14:textId="77777777" w:rsidR="00333FAA" w:rsidRDefault="00333FAA" w:rsidP="00333FAA">
      <w:pPr>
        <w:rPr>
          <w:rFonts w:cs="Arial"/>
        </w:rPr>
      </w:pPr>
    </w:p>
    <w:p w14:paraId="32D6E888" w14:textId="77777777" w:rsidR="004076C8" w:rsidRDefault="004076C8" w:rsidP="00333FAA">
      <w:pPr>
        <w:rPr>
          <w:rFonts w:cs="Arial"/>
        </w:rPr>
      </w:pPr>
    </w:p>
    <w:p w14:paraId="48525259" w14:textId="77777777" w:rsidR="00096216" w:rsidRDefault="00096216" w:rsidP="00333FAA">
      <w:pPr>
        <w:rPr>
          <w:rFonts w:cs="Arial"/>
        </w:rPr>
      </w:pPr>
    </w:p>
    <w:p w14:paraId="192DF873" w14:textId="77777777" w:rsidR="00096216" w:rsidRDefault="00096216" w:rsidP="00333FAA">
      <w:pPr>
        <w:rPr>
          <w:rFonts w:cs="Arial"/>
        </w:rPr>
      </w:pPr>
    </w:p>
    <w:p w14:paraId="13A11EA2" w14:textId="77777777" w:rsidR="00096216" w:rsidRDefault="00096216" w:rsidP="00333FAA">
      <w:pPr>
        <w:rPr>
          <w:rFonts w:cs="Arial"/>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14:paraId="5D9C4B0C" w14:textId="77777777">
        <w:tc>
          <w:tcPr>
            <w:tcW w:w="8525" w:type="dxa"/>
            <w:tcBorders>
              <w:top w:val="nil"/>
              <w:left w:val="nil"/>
              <w:right w:val="nil"/>
            </w:tcBorders>
          </w:tcPr>
          <w:p w14:paraId="79A37EBF" w14:textId="77777777" w:rsidR="00333FAA" w:rsidRDefault="00333FAA" w:rsidP="00A53B04">
            <w:pPr>
              <w:pStyle w:val="Heading1"/>
            </w:pPr>
            <w:r>
              <w:t>Section 1 – Summary and Recommendations</w:t>
            </w:r>
          </w:p>
          <w:p w14:paraId="10426152" w14:textId="77777777" w:rsidR="00333FAA" w:rsidRDefault="00333FAA" w:rsidP="00A53B04"/>
        </w:tc>
      </w:tr>
      <w:tr w:rsidR="00333FAA" w14:paraId="1C12F2F9" w14:textId="77777777">
        <w:tc>
          <w:tcPr>
            <w:tcW w:w="8525" w:type="dxa"/>
          </w:tcPr>
          <w:p w14:paraId="2C7E7458" w14:textId="31832912" w:rsidR="00283888" w:rsidRPr="00F30904" w:rsidRDefault="00BF0E89" w:rsidP="00283888">
            <w:pPr>
              <w:ind w:right="72"/>
              <w:rPr>
                <w:rFonts w:cs="Arial"/>
              </w:rPr>
            </w:pPr>
            <w:r w:rsidRPr="00F30904">
              <w:rPr>
                <w:rFonts w:cs="Arial"/>
              </w:rPr>
              <w:t>The aim of this report is t</w:t>
            </w:r>
            <w:r w:rsidR="00283888" w:rsidRPr="00F30904">
              <w:rPr>
                <w:rFonts w:cs="Arial"/>
              </w:rPr>
              <w:t>o introduce local discretion regarding Retail Relief for the financial year 2021-22</w:t>
            </w:r>
            <w:r w:rsidRPr="00F30904">
              <w:rPr>
                <w:rFonts w:cs="Arial"/>
              </w:rPr>
              <w:t>,</w:t>
            </w:r>
          </w:p>
          <w:p w14:paraId="0A422259" w14:textId="7F15C661" w:rsidR="00283888" w:rsidRPr="00F30904" w:rsidRDefault="00283888" w:rsidP="00283888">
            <w:pPr>
              <w:ind w:right="72"/>
              <w:rPr>
                <w:rFonts w:cs="Arial"/>
              </w:rPr>
            </w:pPr>
            <w:r w:rsidRPr="00F30904">
              <w:rPr>
                <w:rFonts w:cs="Arial"/>
              </w:rPr>
              <w:t xml:space="preserve"> </w:t>
            </w:r>
          </w:p>
          <w:p w14:paraId="0168635D" w14:textId="48A0B11D" w:rsidR="00283888" w:rsidRPr="00F30904" w:rsidRDefault="00283888" w:rsidP="00283888">
            <w:pPr>
              <w:ind w:right="72"/>
              <w:rPr>
                <w:rFonts w:cs="Arial"/>
              </w:rPr>
            </w:pPr>
            <w:r w:rsidRPr="00F30904">
              <w:rPr>
                <w:rFonts w:cs="Arial"/>
              </w:rPr>
              <w:t>Since 2019/20 the government has provided a Business Rates Retail Discount for retail properties which for 2020/21 it expanded to include the leisure and hospitality sectors. On 3 March 2021 the government confirmed that the Expanded Retail Discount would continue to apply in 2021/22 at 100% for three months, from 1 April 2021 to 30 June 2021, and at 66% for the remaining period, from 1 July 2021 to 31 March 2022. It also extended nursery discounts for the year 2021/22.</w:t>
            </w:r>
          </w:p>
          <w:p w14:paraId="71A3C6C5" w14:textId="77777777" w:rsidR="00283888" w:rsidRPr="00F30904" w:rsidRDefault="00283888" w:rsidP="00283888">
            <w:pPr>
              <w:ind w:right="72"/>
              <w:rPr>
                <w:rFonts w:cs="Arial"/>
              </w:rPr>
            </w:pPr>
          </w:p>
          <w:p w14:paraId="26C1E48B" w14:textId="13AE666B" w:rsidR="00283888" w:rsidRPr="00F30904" w:rsidRDefault="00283888" w:rsidP="00283888">
            <w:pPr>
              <w:ind w:right="72"/>
              <w:rPr>
                <w:rFonts w:cs="Arial"/>
              </w:rPr>
            </w:pPr>
            <w:r w:rsidRPr="00F30904">
              <w:rPr>
                <w:rFonts w:cs="Arial"/>
              </w:rPr>
              <w:t>Harrow now wishes to exercise its discretion and adopt the attached policy, which has been modelled on the guidance issued by Government, so it can support businesses in its area.</w:t>
            </w:r>
          </w:p>
          <w:p w14:paraId="66E81BA2" w14:textId="77777777" w:rsidR="00A8239A" w:rsidRPr="00F30904" w:rsidRDefault="00A8239A" w:rsidP="005F4153">
            <w:pPr>
              <w:ind w:right="72"/>
              <w:rPr>
                <w:rFonts w:cs="Arial"/>
              </w:rPr>
            </w:pPr>
          </w:p>
          <w:p w14:paraId="7178FF93" w14:textId="77777777" w:rsidR="005F4153" w:rsidRPr="00F30904" w:rsidRDefault="005F4153" w:rsidP="005F4153">
            <w:pPr>
              <w:outlineLvl w:val="1"/>
              <w:rPr>
                <w:rFonts w:cs="Arial"/>
                <w:b/>
                <w:bCs/>
                <w:color w:val="000000"/>
                <w:sz w:val="28"/>
                <w:szCs w:val="32"/>
              </w:rPr>
            </w:pPr>
            <w:r w:rsidRPr="00F30904">
              <w:rPr>
                <w:rFonts w:cs="Arial"/>
                <w:b/>
                <w:bCs/>
                <w:color w:val="000000"/>
                <w:sz w:val="28"/>
                <w:szCs w:val="32"/>
              </w:rPr>
              <w:t xml:space="preserve">Recommendations: </w:t>
            </w:r>
          </w:p>
          <w:p w14:paraId="49F18F8E" w14:textId="77777777" w:rsidR="005F4153" w:rsidRPr="00F30904" w:rsidRDefault="005F4153" w:rsidP="005F4153">
            <w:pPr>
              <w:rPr>
                <w:color w:val="000000"/>
              </w:rPr>
            </w:pPr>
          </w:p>
          <w:p w14:paraId="531D1CD1" w14:textId="08C3FF31" w:rsidR="005F4153" w:rsidRPr="00F30904" w:rsidRDefault="005F4153" w:rsidP="005F4153">
            <w:pPr>
              <w:ind w:right="-104"/>
              <w:rPr>
                <w:rFonts w:cs="Arial"/>
              </w:rPr>
            </w:pPr>
            <w:r w:rsidRPr="00F30904">
              <w:rPr>
                <w:rFonts w:cs="Arial"/>
              </w:rPr>
              <w:t xml:space="preserve">That Cabinet considers the information given in this report </w:t>
            </w:r>
            <w:r w:rsidR="00BF0E89" w:rsidRPr="00F30904">
              <w:rPr>
                <w:rFonts w:cs="Arial"/>
              </w:rPr>
              <w:t>and:</w:t>
            </w:r>
            <w:r w:rsidRPr="00F30904">
              <w:rPr>
                <w:rFonts w:cs="Arial"/>
              </w:rPr>
              <w:t xml:space="preserve"> </w:t>
            </w:r>
          </w:p>
          <w:p w14:paraId="1EE75CCA" w14:textId="77777777" w:rsidR="005F4153" w:rsidRPr="00F30904" w:rsidRDefault="005F4153" w:rsidP="005F4153">
            <w:pPr>
              <w:ind w:right="-104"/>
              <w:rPr>
                <w:rFonts w:cs="Arial"/>
              </w:rPr>
            </w:pPr>
            <w:r w:rsidRPr="00F30904">
              <w:rPr>
                <w:rFonts w:cs="Arial"/>
              </w:rPr>
              <w:t xml:space="preserve">  </w:t>
            </w:r>
          </w:p>
          <w:p w14:paraId="280AFE95" w14:textId="0E5CD49D" w:rsidR="00283888" w:rsidRPr="00F30904" w:rsidRDefault="00283888" w:rsidP="00283888">
            <w:pPr>
              <w:ind w:left="690" w:right="72"/>
              <w:rPr>
                <w:rFonts w:cs="Arial"/>
              </w:rPr>
            </w:pPr>
            <w:r w:rsidRPr="00F30904">
              <w:rPr>
                <w:rFonts w:cs="Arial"/>
              </w:rPr>
              <w:t xml:space="preserve">1.Agree to adopt, for the year 2021/22, the attached discretionary “Retail Relief </w:t>
            </w:r>
            <w:r w:rsidR="00BF0E89" w:rsidRPr="00F30904">
              <w:rPr>
                <w:rFonts w:cs="Arial"/>
              </w:rPr>
              <w:t>scheme” &amp;</w:t>
            </w:r>
            <w:r w:rsidRPr="00F30904">
              <w:rPr>
                <w:rFonts w:cs="Arial"/>
              </w:rPr>
              <w:t xml:space="preserve"> “Nursery Discount scheme” for business rate payers who are eligible.</w:t>
            </w:r>
          </w:p>
          <w:p w14:paraId="48D57564" w14:textId="77777777" w:rsidR="00283888" w:rsidRPr="00F30904" w:rsidRDefault="00283888" w:rsidP="00283888">
            <w:pPr>
              <w:ind w:left="690" w:right="72"/>
              <w:rPr>
                <w:rFonts w:cs="Arial"/>
              </w:rPr>
            </w:pPr>
          </w:p>
          <w:p w14:paraId="1CA5A1A4" w14:textId="317D5B31" w:rsidR="00A8239A" w:rsidRPr="00F30904" w:rsidRDefault="00283888" w:rsidP="00283888">
            <w:pPr>
              <w:ind w:left="690" w:right="72"/>
              <w:rPr>
                <w:rFonts w:cs="Arial"/>
              </w:rPr>
            </w:pPr>
            <w:r w:rsidRPr="00F30904">
              <w:rPr>
                <w:rFonts w:cs="Arial"/>
              </w:rPr>
              <w:t>2.</w:t>
            </w:r>
            <w:bookmarkStart w:id="1" w:name="_Hlk66181780"/>
            <w:r w:rsidRPr="00F30904">
              <w:rPr>
                <w:rFonts w:cs="Arial"/>
              </w:rPr>
              <w:t>To note that the Corporate Director of Resources can exercise discretion under s47 of the Local Government Finance Act 1988, (as amended) (hereinafter “LGFA”) in order to operate the above scheme</w:t>
            </w:r>
            <w:r w:rsidR="009B2CA4" w:rsidRPr="00F30904">
              <w:rPr>
                <w:rFonts w:cs="Arial"/>
              </w:rPr>
              <w:t xml:space="preserve"> which follows MHCLG’s guidance contained in their letter to local authorities date January 2021</w:t>
            </w:r>
            <w:r w:rsidRPr="00F30904">
              <w:rPr>
                <w:rFonts w:cs="Arial"/>
              </w:rPr>
              <w:t>.</w:t>
            </w:r>
          </w:p>
          <w:bookmarkEnd w:id="1"/>
          <w:p w14:paraId="1936D6F0" w14:textId="77777777" w:rsidR="005F4153" w:rsidRPr="00F30904" w:rsidRDefault="005F4153" w:rsidP="005F4153">
            <w:pPr>
              <w:ind w:left="720" w:right="72"/>
              <w:rPr>
                <w:rFonts w:cs="Arial"/>
              </w:rPr>
            </w:pPr>
          </w:p>
          <w:p w14:paraId="67E07E2A" w14:textId="77777777" w:rsidR="005F4153" w:rsidRPr="00F30904" w:rsidRDefault="005F4153" w:rsidP="005F4153">
            <w:pPr>
              <w:rPr>
                <w:color w:val="000000"/>
              </w:rPr>
            </w:pPr>
            <w:r w:rsidRPr="00F30904">
              <w:rPr>
                <w:b/>
                <w:color w:val="000000"/>
              </w:rPr>
              <w:t xml:space="preserve">Reason:  (For recommendations)  </w:t>
            </w:r>
          </w:p>
          <w:p w14:paraId="2A550E51" w14:textId="21281E81" w:rsidR="00333FAA" w:rsidRPr="00F30904" w:rsidRDefault="00283888" w:rsidP="00F41E43">
            <w:pPr>
              <w:rPr>
                <w:rFonts w:cs="Arial"/>
              </w:rPr>
            </w:pPr>
            <w:r w:rsidRPr="00F30904">
              <w:rPr>
                <w:rFonts w:cs="Arial"/>
              </w:rPr>
              <w:t>To ensure Harrow Council’s eligible business ratepayers receive the maximum amount of centrally funded relief that can be claimed and to ensure the Council supports the local economy.</w:t>
            </w:r>
          </w:p>
        </w:tc>
      </w:tr>
    </w:tbl>
    <w:p w14:paraId="1E00011E" w14:textId="77777777" w:rsidR="00333FAA" w:rsidRDefault="00333FAA" w:rsidP="00333FAA">
      <w:pPr>
        <w:pStyle w:val="Heading1"/>
        <w:rPr>
          <w:rFonts w:ascii="Arial" w:hAnsi="Arial"/>
          <w:sz w:val="24"/>
          <w:szCs w:val="24"/>
        </w:rPr>
      </w:pPr>
    </w:p>
    <w:p w14:paraId="4D2AB489" w14:textId="77777777" w:rsidR="00333FAA" w:rsidRDefault="00333FAA" w:rsidP="00333FAA">
      <w:pPr>
        <w:pStyle w:val="Heading1"/>
      </w:pPr>
      <w:r>
        <w:t>Section 2 – Report</w:t>
      </w:r>
    </w:p>
    <w:p w14:paraId="7A5CCD2D" w14:textId="77777777" w:rsidR="00A8239A" w:rsidRDefault="00A8239A" w:rsidP="005F4153">
      <w:pPr>
        <w:outlineLvl w:val="1"/>
        <w:rPr>
          <w:rFonts w:cs="Arial"/>
          <w:b/>
          <w:bCs/>
          <w:color w:val="000000"/>
          <w:sz w:val="28"/>
          <w:szCs w:val="32"/>
        </w:rPr>
      </w:pPr>
    </w:p>
    <w:p w14:paraId="553821BF" w14:textId="6FF22CCE" w:rsidR="005F4153" w:rsidRDefault="005F4153" w:rsidP="005F4153">
      <w:pPr>
        <w:outlineLvl w:val="1"/>
        <w:rPr>
          <w:rFonts w:cs="Arial"/>
          <w:b/>
          <w:bCs/>
          <w:color w:val="000000"/>
          <w:sz w:val="28"/>
          <w:szCs w:val="32"/>
        </w:rPr>
      </w:pPr>
      <w:r w:rsidRPr="005F4153">
        <w:rPr>
          <w:rFonts w:cs="Arial"/>
          <w:b/>
          <w:bCs/>
          <w:color w:val="000000"/>
          <w:sz w:val="28"/>
          <w:szCs w:val="32"/>
        </w:rPr>
        <w:t>Introductory paragraph</w:t>
      </w:r>
      <w:r w:rsidR="00DD02B3">
        <w:rPr>
          <w:rFonts w:cs="Arial"/>
          <w:b/>
          <w:bCs/>
          <w:color w:val="000000"/>
          <w:sz w:val="28"/>
          <w:szCs w:val="32"/>
        </w:rPr>
        <w:t xml:space="preserve"> &amp; Recommendation</w:t>
      </w:r>
    </w:p>
    <w:p w14:paraId="38ADDBA3" w14:textId="00CFDF59" w:rsidR="001A110D" w:rsidRDefault="001A110D" w:rsidP="005F4153">
      <w:pPr>
        <w:outlineLvl w:val="1"/>
        <w:rPr>
          <w:rFonts w:cs="Arial"/>
          <w:b/>
          <w:bCs/>
          <w:color w:val="000000"/>
          <w:sz w:val="28"/>
          <w:szCs w:val="32"/>
        </w:rPr>
      </w:pPr>
    </w:p>
    <w:p w14:paraId="68C408EB" w14:textId="77777777" w:rsidR="00164311" w:rsidRDefault="003A5B36" w:rsidP="003A5B36">
      <w:pPr>
        <w:tabs>
          <w:tab w:val="left" w:pos="8309"/>
        </w:tabs>
        <w:ind w:right="-55"/>
        <w:jc w:val="both"/>
        <w:rPr>
          <w:bCs/>
        </w:rPr>
      </w:pPr>
      <w:r>
        <w:rPr>
          <w:bCs/>
        </w:rPr>
        <w:t xml:space="preserve">Further to the </w:t>
      </w:r>
      <w:r w:rsidRPr="00BB426C">
        <w:rPr>
          <w:bCs/>
        </w:rPr>
        <w:t>Government announc</w:t>
      </w:r>
      <w:r>
        <w:rPr>
          <w:bCs/>
        </w:rPr>
        <w:t>ing a further extension of retail relief</w:t>
      </w:r>
      <w:r w:rsidRPr="00BB426C">
        <w:rPr>
          <w:bCs/>
        </w:rPr>
        <w:t xml:space="preserve"> in the Budget </w:t>
      </w:r>
      <w:r>
        <w:rPr>
          <w:bCs/>
        </w:rPr>
        <w:t>in March 2021,</w:t>
      </w:r>
      <w:r w:rsidRPr="00BB426C">
        <w:rPr>
          <w:bCs/>
        </w:rPr>
        <w:t xml:space="preserve"> </w:t>
      </w:r>
      <w:r>
        <w:rPr>
          <w:bCs/>
        </w:rPr>
        <w:t>it is now necessary for Cabinet to approve</w:t>
      </w:r>
      <w:r w:rsidR="00164311">
        <w:rPr>
          <w:bCs/>
        </w:rPr>
        <w:t xml:space="preserve"> the attached policy in order that we may continue awarding retail relief to qualifying businesses for the period 2021/22.</w:t>
      </w:r>
    </w:p>
    <w:p w14:paraId="14FCBA99" w14:textId="77777777" w:rsidR="00164311" w:rsidRDefault="00164311" w:rsidP="003A5B36">
      <w:pPr>
        <w:tabs>
          <w:tab w:val="left" w:pos="8309"/>
        </w:tabs>
        <w:ind w:right="-55"/>
        <w:jc w:val="both"/>
        <w:rPr>
          <w:bCs/>
        </w:rPr>
      </w:pPr>
    </w:p>
    <w:p w14:paraId="242784F3" w14:textId="77777777" w:rsidR="00164311" w:rsidRDefault="00164311" w:rsidP="003A5B36">
      <w:pPr>
        <w:tabs>
          <w:tab w:val="left" w:pos="8309"/>
        </w:tabs>
        <w:ind w:right="-55"/>
        <w:jc w:val="both"/>
        <w:rPr>
          <w:bCs/>
        </w:rPr>
      </w:pPr>
      <w:r>
        <w:rPr>
          <w:bCs/>
        </w:rPr>
        <w:t xml:space="preserve">It is therefore recommended Cabinet </w:t>
      </w:r>
      <w:r w:rsidR="003A5B36">
        <w:rPr>
          <w:bCs/>
        </w:rPr>
        <w:t>adopt</w:t>
      </w:r>
      <w:r>
        <w:rPr>
          <w:bCs/>
        </w:rPr>
        <w:t>s</w:t>
      </w:r>
      <w:r w:rsidR="003A5B36">
        <w:rPr>
          <w:bCs/>
        </w:rPr>
        <w:t xml:space="preserve"> the </w:t>
      </w:r>
      <w:r>
        <w:rPr>
          <w:bCs/>
        </w:rPr>
        <w:t xml:space="preserve">attached </w:t>
      </w:r>
      <w:r w:rsidR="003A5B36" w:rsidRPr="00BB426C">
        <w:rPr>
          <w:bCs/>
        </w:rPr>
        <w:t xml:space="preserve">local scheme </w:t>
      </w:r>
      <w:r w:rsidR="003A5B36">
        <w:rPr>
          <w:bCs/>
        </w:rPr>
        <w:t xml:space="preserve">(Appendix 1) </w:t>
      </w:r>
      <w:r>
        <w:rPr>
          <w:bCs/>
        </w:rPr>
        <w:t xml:space="preserve">for 2021/22 so the Business Rates Service can </w:t>
      </w:r>
      <w:r w:rsidR="003A5B36">
        <w:rPr>
          <w:bCs/>
        </w:rPr>
        <w:t xml:space="preserve">subsequently </w:t>
      </w:r>
      <w:r w:rsidR="003A5B36" w:rsidRPr="00BB426C">
        <w:rPr>
          <w:bCs/>
        </w:rPr>
        <w:t>determine in each individual case</w:t>
      </w:r>
      <w:r w:rsidR="003A5B36">
        <w:rPr>
          <w:bCs/>
        </w:rPr>
        <w:t>,</w:t>
      </w:r>
      <w:r w:rsidR="003A5B36" w:rsidRPr="00BB426C">
        <w:rPr>
          <w:bCs/>
        </w:rPr>
        <w:t xml:space="preserve"> </w:t>
      </w:r>
      <w:r>
        <w:rPr>
          <w:bCs/>
        </w:rPr>
        <w:t>the relief to be granted</w:t>
      </w:r>
      <w:r w:rsidR="003A5B36" w:rsidRPr="00BB426C">
        <w:rPr>
          <w:bCs/>
        </w:rPr>
        <w:t xml:space="preserve"> under section 47.  </w:t>
      </w:r>
    </w:p>
    <w:p w14:paraId="56F42F4B" w14:textId="77777777" w:rsidR="00164311" w:rsidRDefault="00164311" w:rsidP="003A5B36">
      <w:pPr>
        <w:tabs>
          <w:tab w:val="left" w:pos="8309"/>
        </w:tabs>
        <w:ind w:right="-55"/>
        <w:jc w:val="both"/>
        <w:rPr>
          <w:bCs/>
        </w:rPr>
      </w:pPr>
    </w:p>
    <w:p w14:paraId="4B2C5517" w14:textId="74C8A949" w:rsidR="001A110D" w:rsidRPr="001A110D" w:rsidRDefault="001A110D" w:rsidP="001A110D">
      <w:pPr>
        <w:jc w:val="both"/>
        <w:rPr>
          <w:bCs/>
        </w:rPr>
      </w:pPr>
      <w:r>
        <w:rPr>
          <w:bCs/>
        </w:rPr>
        <w:lastRenderedPageBreak/>
        <w:t>The original policy was</w:t>
      </w:r>
      <w:r w:rsidR="00043D0B">
        <w:rPr>
          <w:bCs/>
        </w:rPr>
        <w:t xml:space="preserve"> agreed at</w:t>
      </w:r>
      <w:r w:rsidRPr="001A110D">
        <w:rPr>
          <w:bCs/>
        </w:rPr>
        <w:t xml:space="preserve"> Cabinet on the 17th of January 2019</w:t>
      </w:r>
      <w:r w:rsidR="00043D0B">
        <w:rPr>
          <w:bCs/>
        </w:rPr>
        <w:t xml:space="preserve">. </w:t>
      </w:r>
      <w:r w:rsidRPr="001A110D">
        <w:rPr>
          <w:bCs/>
        </w:rPr>
        <w:t>As the Government’s retail relief scheme has been extended for 1 year, this report</w:t>
      </w:r>
      <w:r w:rsidR="00043D0B">
        <w:rPr>
          <w:bCs/>
        </w:rPr>
        <w:t xml:space="preserve"> </w:t>
      </w:r>
      <w:r w:rsidRPr="001A110D">
        <w:rPr>
          <w:bCs/>
        </w:rPr>
        <w:t xml:space="preserve"> </w:t>
      </w:r>
      <w:r>
        <w:rPr>
          <w:bCs/>
        </w:rPr>
        <w:t xml:space="preserve">amends the policy and </w:t>
      </w:r>
      <w:r w:rsidRPr="001A110D">
        <w:rPr>
          <w:bCs/>
        </w:rPr>
        <w:t xml:space="preserve">seeks authority </w:t>
      </w:r>
      <w:r w:rsidR="00116FAC" w:rsidRPr="009B2CA4">
        <w:rPr>
          <w:bCs/>
        </w:rPr>
        <w:t>to</w:t>
      </w:r>
      <w:r w:rsidR="00116FAC">
        <w:rPr>
          <w:bCs/>
        </w:rPr>
        <w:t xml:space="preserve"> </w:t>
      </w:r>
      <w:r w:rsidRPr="001A110D">
        <w:rPr>
          <w:bCs/>
        </w:rPr>
        <w:t>extend the discretionary relief policy to dovetail with central Government guidance applicable for the financial year 2021/22.</w:t>
      </w:r>
    </w:p>
    <w:p w14:paraId="5C143733" w14:textId="77777777" w:rsidR="001A110D" w:rsidRDefault="001A110D" w:rsidP="003A5B36">
      <w:pPr>
        <w:tabs>
          <w:tab w:val="left" w:pos="8309"/>
        </w:tabs>
        <w:ind w:right="-55"/>
        <w:jc w:val="both"/>
        <w:rPr>
          <w:bCs/>
        </w:rPr>
      </w:pPr>
    </w:p>
    <w:p w14:paraId="2E646D68" w14:textId="049ED313" w:rsidR="003A5B36" w:rsidRDefault="003A5B36" w:rsidP="003A5B36">
      <w:pPr>
        <w:tabs>
          <w:tab w:val="left" w:pos="8309"/>
        </w:tabs>
        <w:ind w:right="-55"/>
        <w:jc w:val="both"/>
        <w:rPr>
          <w:bCs/>
        </w:rPr>
      </w:pPr>
      <w:r w:rsidRPr="00BB426C">
        <w:rPr>
          <w:bCs/>
        </w:rPr>
        <w:t xml:space="preserve">Central government will fully reimburse </w:t>
      </w:r>
      <w:r>
        <w:rPr>
          <w:bCs/>
        </w:rPr>
        <w:t>Harrow</w:t>
      </w:r>
      <w:r w:rsidRPr="00BB426C">
        <w:rPr>
          <w:bCs/>
        </w:rPr>
        <w:t xml:space="preserve"> for the local share of the discretionary relief (using a grant under section 31 of the Local Government Act 2003). The Government expects local government to grant relief to qualifying ratepayers. </w:t>
      </w:r>
    </w:p>
    <w:p w14:paraId="0A9B341C" w14:textId="7F2ADA21" w:rsidR="003A5B36" w:rsidRDefault="003A5B36" w:rsidP="003A5B36">
      <w:pPr>
        <w:outlineLvl w:val="1"/>
        <w:rPr>
          <w:rFonts w:cs="Arial"/>
          <w:b/>
          <w:bCs/>
          <w:color w:val="000000"/>
          <w:sz w:val="28"/>
          <w:szCs w:val="32"/>
        </w:rPr>
      </w:pPr>
    </w:p>
    <w:p w14:paraId="1ACB20C2" w14:textId="2A919045" w:rsidR="005F4153" w:rsidRPr="005F4153" w:rsidRDefault="005F4153" w:rsidP="007F7FE6">
      <w:pPr>
        <w:tabs>
          <w:tab w:val="left" w:pos="567"/>
        </w:tabs>
        <w:outlineLvl w:val="1"/>
        <w:rPr>
          <w:rFonts w:cs="Arial"/>
          <w:b/>
          <w:bCs/>
          <w:sz w:val="28"/>
          <w:szCs w:val="32"/>
        </w:rPr>
      </w:pPr>
      <w:r w:rsidRPr="005F4153">
        <w:rPr>
          <w:rFonts w:cs="Arial"/>
          <w:b/>
          <w:bCs/>
          <w:sz w:val="28"/>
          <w:szCs w:val="32"/>
        </w:rPr>
        <w:t xml:space="preserve">Procurement Implications </w:t>
      </w:r>
    </w:p>
    <w:p w14:paraId="7DB47695" w14:textId="77777777" w:rsidR="005F4153" w:rsidRPr="005F4153" w:rsidRDefault="005F4153" w:rsidP="007F7FE6">
      <w:pPr>
        <w:tabs>
          <w:tab w:val="left" w:pos="567"/>
        </w:tabs>
        <w:jc w:val="both"/>
        <w:outlineLvl w:val="1"/>
        <w:rPr>
          <w:rFonts w:cs="Arial"/>
          <w:bCs/>
          <w:szCs w:val="24"/>
        </w:rPr>
      </w:pPr>
      <w:r w:rsidRPr="005F4153">
        <w:rPr>
          <w:rFonts w:cs="Arial"/>
          <w:bCs/>
          <w:szCs w:val="24"/>
        </w:rPr>
        <w:t>T</w:t>
      </w:r>
      <w:r w:rsidRPr="005F4153">
        <w:rPr>
          <w:rFonts w:cs="Arial"/>
          <w:bCs/>
          <w:iCs/>
          <w:szCs w:val="24"/>
        </w:rPr>
        <w:t>here are no procurement implications arising from the Recommendations of this report.</w:t>
      </w:r>
    </w:p>
    <w:p w14:paraId="0F36369B" w14:textId="70E1CA82" w:rsidR="000C2E54" w:rsidRDefault="000C2E54" w:rsidP="005F4153">
      <w:pPr>
        <w:tabs>
          <w:tab w:val="left" w:pos="142"/>
        </w:tabs>
        <w:ind w:left="142"/>
        <w:jc w:val="both"/>
        <w:rPr>
          <w:rFonts w:cs="Arial"/>
          <w:b/>
          <w:bCs/>
          <w:iCs/>
          <w:sz w:val="28"/>
          <w:szCs w:val="28"/>
        </w:rPr>
      </w:pPr>
    </w:p>
    <w:p w14:paraId="6919E856" w14:textId="77777777" w:rsidR="00FD6D36" w:rsidRDefault="005F4153" w:rsidP="00FD6D36">
      <w:pPr>
        <w:tabs>
          <w:tab w:val="left" w:pos="142"/>
        </w:tabs>
        <w:jc w:val="both"/>
        <w:rPr>
          <w:rFonts w:cs="Arial"/>
          <w:b/>
          <w:bCs/>
          <w:iCs/>
          <w:sz w:val="28"/>
          <w:szCs w:val="28"/>
        </w:rPr>
      </w:pPr>
      <w:r w:rsidRPr="005F4153">
        <w:rPr>
          <w:rFonts w:cs="Arial"/>
          <w:b/>
          <w:bCs/>
          <w:iCs/>
          <w:sz w:val="28"/>
          <w:szCs w:val="28"/>
        </w:rPr>
        <w:t>Legal Implications</w:t>
      </w:r>
    </w:p>
    <w:p w14:paraId="5544029A" w14:textId="2B940894" w:rsidR="00164311" w:rsidRDefault="00164311" w:rsidP="00FD6D36">
      <w:pPr>
        <w:tabs>
          <w:tab w:val="left" w:pos="142"/>
        </w:tabs>
        <w:jc w:val="both"/>
        <w:rPr>
          <w:bCs/>
        </w:rPr>
      </w:pPr>
      <w:r w:rsidRPr="0047502B">
        <w:rPr>
          <w:bCs/>
        </w:rPr>
        <w:t>The Council, as a billing authority, is empowered to</w:t>
      </w:r>
      <w:r>
        <w:rPr>
          <w:bCs/>
        </w:rPr>
        <w:t xml:space="preserve"> </w:t>
      </w:r>
      <w:r w:rsidRPr="00C43E84">
        <w:rPr>
          <w:rFonts w:eastAsia="Calibri" w:cs="Arial"/>
          <w:szCs w:val="24"/>
        </w:rPr>
        <w:t>award discretionary rate relief</w:t>
      </w:r>
      <w:r>
        <w:rPr>
          <w:rFonts w:eastAsia="Calibri" w:cs="Arial"/>
          <w:szCs w:val="24"/>
        </w:rPr>
        <w:t xml:space="preserve"> under </w:t>
      </w:r>
      <w:r w:rsidRPr="00C43E84">
        <w:rPr>
          <w:rFonts w:eastAsia="Calibri" w:cs="Arial"/>
          <w:szCs w:val="24"/>
        </w:rPr>
        <w:t xml:space="preserve">s47 of The Local Government Finance Act 1988, </w:t>
      </w:r>
      <w:r>
        <w:rPr>
          <w:rFonts w:eastAsia="Calibri" w:cs="Arial"/>
          <w:szCs w:val="24"/>
        </w:rPr>
        <w:t>as</w:t>
      </w:r>
      <w:r w:rsidRPr="00C43E84">
        <w:rPr>
          <w:rFonts w:eastAsia="Calibri" w:cs="Arial"/>
          <w:szCs w:val="24"/>
        </w:rPr>
        <w:t xml:space="preserve"> amended by s69 of the Localism Act 2011. T</w:t>
      </w:r>
      <w:r>
        <w:rPr>
          <w:rFonts w:eastAsia="Calibri" w:cs="Arial"/>
          <w:szCs w:val="24"/>
        </w:rPr>
        <w:t>he latter</w:t>
      </w:r>
      <w:r w:rsidRPr="00C43E84">
        <w:rPr>
          <w:rFonts w:eastAsia="Calibri" w:cs="Arial"/>
          <w:szCs w:val="24"/>
        </w:rPr>
        <w:t xml:space="preserve"> widened the scope of s47 to enable billing authorities to award discre</w:t>
      </w:r>
      <w:r>
        <w:rPr>
          <w:rFonts w:eastAsia="Calibri" w:cs="Arial"/>
          <w:szCs w:val="24"/>
        </w:rPr>
        <w:t>tionary relief to any ratepayer</w:t>
      </w:r>
      <w:r w:rsidRPr="00C43E84">
        <w:rPr>
          <w:rFonts w:eastAsia="Calibri" w:cs="Arial"/>
          <w:szCs w:val="24"/>
        </w:rPr>
        <w:t xml:space="preserve">. </w:t>
      </w:r>
      <w:r>
        <w:rPr>
          <w:rFonts w:eastAsia="Calibri" w:cs="Arial"/>
          <w:szCs w:val="24"/>
        </w:rPr>
        <w:t>H</w:t>
      </w:r>
      <w:r>
        <w:rPr>
          <w:bCs/>
        </w:rPr>
        <w:t xml:space="preserve">arrow Council will deliver the scheme through the use of its existing discretionary relief powers. </w:t>
      </w:r>
    </w:p>
    <w:p w14:paraId="2D24B4D3" w14:textId="77777777" w:rsidR="00164311" w:rsidRDefault="00164311" w:rsidP="00164311">
      <w:pPr>
        <w:tabs>
          <w:tab w:val="left" w:pos="8309"/>
        </w:tabs>
        <w:ind w:left="142" w:right="-55"/>
        <w:jc w:val="both"/>
        <w:rPr>
          <w:bCs/>
        </w:rPr>
      </w:pPr>
    </w:p>
    <w:p w14:paraId="7439C530" w14:textId="77777777" w:rsidR="00164311" w:rsidRDefault="00164311" w:rsidP="007F7FE6">
      <w:pPr>
        <w:autoSpaceDE w:val="0"/>
        <w:autoSpaceDN w:val="0"/>
        <w:adjustRightInd w:val="0"/>
        <w:jc w:val="both"/>
        <w:rPr>
          <w:rFonts w:cs="Arial"/>
          <w:szCs w:val="24"/>
          <w:lang w:eastAsia="en-GB"/>
        </w:rPr>
      </w:pPr>
      <w:r>
        <w:rPr>
          <w:rFonts w:cs="Arial"/>
          <w:szCs w:val="24"/>
          <w:lang w:eastAsia="en-GB"/>
        </w:rPr>
        <w:t>The authority already has in place a policy that provides guidelines for deciding whether or not to grant relief and for determining the amount of any relief given. The proposed scheme temporarily adds to this to cater for recent Government’s announcement, for the stated specific years, so Harrow Council can support local ratepayers who meet the Council’s eligibility criteria.</w:t>
      </w:r>
    </w:p>
    <w:p w14:paraId="674EA7AA" w14:textId="77777777" w:rsidR="00164311" w:rsidRDefault="00164311" w:rsidP="00164311">
      <w:pPr>
        <w:autoSpaceDE w:val="0"/>
        <w:autoSpaceDN w:val="0"/>
        <w:adjustRightInd w:val="0"/>
        <w:jc w:val="both"/>
        <w:rPr>
          <w:rFonts w:cs="Arial"/>
          <w:szCs w:val="24"/>
          <w:lang w:eastAsia="en-GB"/>
        </w:rPr>
      </w:pPr>
    </w:p>
    <w:p w14:paraId="4F830DE2" w14:textId="77777777" w:rsidR="00164311" w:rsidRDefault="00164311" w:rsidP="007F7FE6">
      <w:pPr>
        <w:autoSpaceDE w:val="0"/>
        <w:autoSpaceDN w:val="0"/>
        <w:adjustRightInd w:val="0"/>
        <w:jc w:val="both"/>
        <w:rPr>
          <w:rFonts w:cs="Arial"/>
          <w:szCs w:val="24"/>
          <w:lang w:eastAsia="en-GB"/>
        </w:rPr>
      </w:pPr>
      <w:r>
        <w:rPr>
          <w:rFonts w:cs="Arial"/>
          <w:szCs w:val="24"/>
          <w:lang w:eastAsia="en-GB"/>
        </w:rPr>
        <w:t xml:space="preserve">Whilst the Council has the power to award discretionary rate relief to businesses as it thinks fit, the Council can only exercise its discretion if it is reasonable to do so having regard to the interests of local council tax payers and having elected to do so via a specific scheme or policy. </w:t>
      </w:r>
    </w:p>
    <w:p w14:paraId="71B86ADE" w14:textId="77777777" w:rsidR="00164311" w:rsidRDefault="00164311" w:rsidP="00164311">
      <w:pPr>
        <w:autoSpaceDE w:val="0"/>
        <w:autoSpaceDN w:val="0"/>
        <w:adjustRightInd w:val="0"/>
        <w:ind w:left="153"/>
        <w:jc w:val="both"/>
        <w:rPr>
          <w:rFonts w:cs="Arial"/>
          <w:szCs w:val="24"/>
          <w:lang w:eastAsia="en-GB"/>
        </w:rPr>
      </w:pPr>
    </w:p>
    <w:p w14:paraId="4AE8C9B3" w14:textId="77777777" w:rsidR="00164311" w:rsidRDefault="00164311" w:rsidP="007F7FE6">
      <w:pPr>
        <w:autoSpaceDE w:val="0"/>
        <w:autoSpaceDN w:val="0"/>
        <w:adjustRightInd w:val="0"/>
        <w:jc w:val="both"/>
        <w:rPr>
          <w:rFonts w:cs="Arial"/>
          <w:szCs w:val="24"/>
          <w:lang w:eastAsia="en-GB"/>
        </w:rPr>
      </w:pPr>
      <w:r>
        <w:rPr>
          <w:rFonts w:cs="Arial"/>
          <w:szCs w:val="24"/>
          <w:lang w:eastAsia="en-GB"/>
        </w:rPr>
        <w:t>Cabinet must also note that i</w:t>
      </w:r>
      <w:r w:rsidRPr="00F41317">
        <w:rPr>
          <w:rFonts w:cs="Arial"/>
          <w:szCs w:val="24"/>
          <w:lang w:eastAsia="en-GB"/>
        </w:rPr>
        <w:t>n making discretionary payments, the local authority will be expected to ensure it is meeting conditions attached to State Aid under European Union regulations.</w:t>
      </w:r>
    </w:p>
    <w:p w14:paraId="6321C228" w14:textId="77777777" w:rsidR="005F4153" w:rsidRPr="005F4153" w:rsidRDefault="005F4153" w:rsidP="005F4153">
      <w:pPr>
        <w:ind w:left="709" w:hanging="540"/>
        <w:jc w:val="both"/>
        <w:rPr>
          <w:rFonts w:cs="Arial"/>
          <w:szCs w:val="24"/>
        </w:rPr>
      </w:pPr>
    </w:p>
    <w:p w14:paraId="212264F4" w14:textId="77777777" w:rsidR="005F4153" w:rsidRPr="005F4153" w:rsidRDefault="005F4153" w:rsidP="007F7FE6">
      <w:pPr>
        <w:jc w:val="both"/>
        <w:rPr>
          <w:b/>
          <w:color w:val="000000"/>
          <w:sz w:val="28"/>
          <w:szCs w:val="28"/>
        </w:rPr>
      </w:pPr>
      <w:r w:rsidRPr="005F4153">
        <w:rPr>
          <w:b/>
          <w:color w:val="000000"/>
          <w:sz w:val="28"/>
          <w:szCs w:val="28"/>
        </w:rPr>
        <w:t>Financial Implications</w:t>
      </w:r>
    </w:p>
    <w:p w14:paraId="2E352014" w14:textId="77777777" w:rsidR="007F7FE6" w:rsidRDefault="007F7FE6" w:rsidP="007F7FE6">
      <w:pPr>
        <w:tabs>
          <w:tab w:val="left" w:pos="8309"/>
        </w:tabs>
        <w:ind w:right="-55"/>
        <w:jc w:val="both"/>
        <w:rPr>
          <w:bCs/>
        </w:rPr>
      </w:pPr>
      <w:r>
        <w:rPr>
          <w:bCs/>
        </w:rPr>
        <w:t xml:space="preserve">Regarding the cost of the scheme itself, there are no financial implications as </w:t>
      </w:r>
    </w:p>
    <w:p w14:paraId="276514C1" w14:textId="77777777" w:rsidR="007F7FE6" w:rsidRDefault="007F7FE6" w:rsidP="007F7FE6">
      <w:pPr>
        <w:tabs>
          <w:tab w:val="left" w:pos="8309"/>
        </w:tabs>
        <w:ind w:right="-55"/>
        <w:jc w:val="both"/>
        <w:rPr>
          <w:bCs/>
        </w:rPr>
      </w:pPr>
      <w:r>
        <w:rPr>
          <w:bCs/>
        </w:rPr>
        <w:t xml:space="preserve">the full cost of the awards, including the rate retention loss proportion that </w:t>
      </w:r>
    </w:p>
    <w:p w14:paraId="750EEE11" w14:textId="471C6540" w:rsidR="007F7FE6" w:rsidRDefault="007F7FE6" w:rsidP="007F7FE6">
      <w:pPr>
        <w:tabs>
          <w:tab w:val="left" w:pos="8309"/>
        </w:tabs>
        <w:ind w:right="-55"/>
        <w:jc w:val="both"/>
        <w:rPr>
          <w:bCs/>
        </w:rPr>
      </w:pPr>
      <w:r>
        <w:rPr>
          <w:bCs/>
        </w:rPr>
        <w:t>Harrow will lose, will be paid back to the local authority via s31 grant.</w:t>
      </w:r>
    </w:p>
    <w:p w14:paraId="040DFD2F" w14:textId="77777777" w:rsidR="00FD6D36" w:rsidRDefault="00FD6D36" w:rsidP="005F4153">
      <w:pPr>
        <w:jc w:val="both"/>
        <w:rPr>
          <w:b/>
          <w:color w:val="000000"/>
          <w:sz w:val="28"/>
          <w:szCs w:val="28"/>
        </w:rPr>
      </w:pPr>
    </w:p>
    <w:p w14:paraId="605274DA" w14:textId="21F30B87" w:rsidR="005F4153" w:rsidRPr="005F4153" w:rsidRDefault="005F4153" w:rsidP="005F4153">
      <w:pPr>
        <w:jc w:val="both"/>
        <w:rPr>
          <w:b/>
          <w:color w:val="000000"/>
          <w:sz w:val="28"/>
          <w:szCs w:val="28"/>
        </w:rPr>
      </w:pPr>
      <w:r w:rsidRPr="005F4153">
        <w:rPr>
          <w:b/>
          <w:color w:val="000000"/>
          <w:sz w:val="28"/>
          <w:szCs w:val="28"/>
        </w:rPr>
        <w:t xml:space="preserve">Performance Issues </w:t>
      </w:r>
    </w:p>
    <w:p w14:paraId="239AAB65" w14:textId="77777777" w:rsidR="007F7FE6" w:rsidRPr="007F00AF" w:rsidRDefault="007F7FE6" w:rsidP="007F7FE6">
      <w:pPr>
        <w:jc w:val="both"/>
        <w:rPr>
          <w:szCs w:val="24"/>
        </w:rPr>
      </w:pPr>
      <w:r w:rsidRPr="007F00AF">
        <w:rPr>
          <w:szCs w:val="24"/>
        </w:rPr>
        <w:t>Ensuring all eligible traders are awarded the reliefs they are entitled to will support collection rates and reduce collection administration</w:t>
      </w:r>
      <w:r>
        <w:rPr>
          <w:szCs w:val="24"/>
        </w:rPr>
        <w:t>.</w:t>
      </w:r>
    </w:p>
    <w:p w14:paraId="4DBE5601" w14:textId="77777777" w:rsidR="005F4153" w:rsidRPr="005F4153" w:rsidRDefault="005F4153" w:rsidP="005F4153">
      <w:pPr>
        <w:jc w:val="both"/>
        <w:rPr>
          <w:rFonts w:cs="Arial"/>
        </w:rPr>
      </w:pPr>
    </w:p>
    <w:p w14:paraId="0262793B" w14:textId="77777777" w:rsidR="005F4153" w:rsidRPr="005F4153" w:rsidRDefault="005F4153" w:rsidP="005F4153">
      <w:pPr>
        <w:jc w:val="both"/>
        <w:rPr>
          <w:b/>
          <w:color w:val="000000"/>
          <w:sz w:val="28"/>
          <w:szCs w:val="28"/>
        </w:rPr>
      </w:pPr>
      <w:r w:rsidRPr="005F4153">
        <w:rPr>
          <w:b/>
          <w:color w:val="000000"/>
          <w:sz w:val="28"/>
          <w:szCs w:val="28"/>
        </w:rPr>
        <w:t>Environmental Impact</w:t>
      </w:r>
    </w:p>
    <w:p w14:paraId="16D17B6B" w14:textId="77777777" w:rsidR="005F4153" w:rsidRPr="005F4153" w:rsidRDefault="005F4153" w:rsidP="005F4153">
      <w:pPr>
        <w:jc w:val="both"/>
        <w:rPr>
          <w:color w:val="000000"/>
        </w:rPr>
      </w:pPr>
      <w:r w:rsidRPr="005F4153">
        <w:rPr>
          <w:color w:val="000000"/>
        </w:rPr>
        <w:t xml:space="preserve">There are no direct environmental impacts anticipated from the recommendations contained within this report.  </w:t>
      </w:r>
    </w:p>
    <w:p w14:paraId="7D786713" w14:textId="77777777" w:rsidR="005F4153" w:rsidRPr="005F4153" w:rsidRDefault="005F4153" w:rsidP="005F4153">
      <w:pPr>
        <w:jc w:val="both"/>
        <w:rPr>
          <w:color w:val="000000"/>
        </w:rPr>
      </w:pPr>
    </w:p>
    <w:p w14:paraId="0F174562" w14:textId="77777777" w:rsidR="005F4153" w:rsidRPr="005F4153" w:rsidRDefault="005F4153" w:rsidP="005F4153">
      <w:pPr>
        <w:jc w:val="both"/>
        <w:rPr>
          <w:color w:val="000000"/>
        </w:rPr>
      </w:pPr>
      <w:r w:rsidRPr="005F4153">
        <w:rPr>
          <w:b/>
          <w:color w:val="000000"/>
          <w:sz w:val="28"/>
          <w:szCs w:val="28"/>
        </w:rPr>
        <w:lastRenderedPageBreak/>
        <w:t>Risk Management Implications</w:t>
      </w:r>
    </w:p>
    <w:p w14:paraId="55C13514" w14:textId="77777777" w:rsidR="00116FAC" w:rsidRDefault="00116FAC" w:rsidP="005F4153">
      <w:pPr>
        <w:jc w:val="both"/>
        <w:rPr>
          <w:rFonts w:cs="Arial"/>
          <w:szCs w:val="24"/>
          <w:lang w:eastAsia="en-GB"/>
        </w:rPr>
      </w:pPr>
      <w:r w:rsidRPr="005F4153">
        <w:rPr>
          <w:color w:val="000000"/>
        </w:rPr>
        <w:t>Risk included on Directorate risk register? No</w:t>
      </w:r>
      <w:r w:rsidRPr="005F4153">
        <w:rPr>
          <w:rFonts w:cs="Arial"/>
          <w:szCs w:val="24"/>
          <w:lang w:eastAsia="en-GB"/>
        </w:rPr>
        <w:t xml:space="preserve"> </w:t>
      </w:r>
    </w:p>
    <w:p w14:paraId="51B922FE" w14:textId="085BC859" w:rsidR="00116FAC" w:rsidRDefault="00116FAC" w:rsidP="005F4153">
      <w:pPr>
        <w:jc w:val="both"/>
        <w:rPr>
          <w:rFonts w:cs="Arial"/>
          <w:szCs w:val="24"/>
          <w:lang w:eastAsia="en-GB"/>
        </w:rPr>
      </w:pPr>
      <w:r w:rsidRPr="00116FAC">
        <w:rPr>
          <w:rFonts w:cs="Arial"/>
          <w:szCs w:val="24"/>
          <w:lang w:eastAsia="en-GB"/>
        </w:rPr>
        <w:t>Separate risk register in place?  No</w:t>
      </w:r>
    </w:p>
    <w:p w14:paraId="4421B5DB" w14:textId="6EAC6A28" w:rsidR="00116FAC" w:rsidRDefault="00287A3C" w:rsidP="009B2CA4">
      <w:pPr>
        <w:tabs>
          <w:tab w:val="left" w:pos="5610"/>
        </w:tabs>
        <w:ind w:right="81" w:hanging="567"/>
        <w:rPr>
          <w:rFonts w:cs="Arial"/>
          <w:szCs w:val="24"/>
          <w:lang w:eastAsia="en-GB"/>
        </w:rPr>
      </w:pPr>
      <w:r w:rsidRPr="00287A3C">
        <w:t xml:space="preserve"> </w:t>
      </w:r>
      <w:r>
        <w:tab/>
      </w:r>
    </w:p>
    <w:p w14:paraId="70725346" w14:textId="35B7E485" w:rsidR="00287A3C" w:rsidRPr="008206E4" w:rsidRDefault="00287A3C" w:rsidP="00287A3C">
      <w:pPr>
        <w:suppressAutoHyphens/>
        <w:autoSpaceDN w:val="0"/>
        <w:ind w:left="-567"/>
        <w:jc w:val="both"/>
        <w:textAlignment w:val="baseline"/>
      </w:pPr>
      <w:r>
        <w:tab/>
      </w:r>
      <w:r w:rsidRPr="008206E4">
        <w:t xml:space="preserve">The following key risks should be taken onto account when agreeing the </w:t>
      </w:r>
      <w:r w:rsidRPr="008206E4">
        <w:tab/>
        <w:t>recommendations in this report:</w:t>
      </w:r>
    </w:p>
    <w:p w14:paraId="2E1CC463" w14:textId="608E0988" w:rsidR="00287A3C" w:rsidRDefault="00287A3C" w:rsidP="005F4153">
      <w:pPr>
        <w:jc w:val="both"/>
        <w:rPr>
          <w:rFonts w:cs="Arial"/>
          <w:szCs w:val="24"/>
          <w:lang w:eastAsia="en-GB"/>
        </w:rPr>
      </w:pPr>
    </w:p>
    <w:tbl>
      <w:tblPr>
        <w:tblW w:w="9639" w:type="dxa"/>
        <w:tblInd w:w="-572" w:type="dxa"/>
        <w:tblCellMar>
          <w:left w:w="10" w:type="dxa"/>
          <w:right w:w="10" w:type="dxa"/>
        </w:tblCellMar>
        <w:tblLook w:val="0000" w:firstRow="0" w:lastRow="0" w:firstColumn="0" w:lastColumn="0" w:noHBand="0" w:noVBand="0"/>
      </w:tblPr>
      <w:tblGrid>
        <w:gridCol w:w="3950"/>
        <w:gridCol w:w="4794"/>
        <w:gridCol w:w="895"/>
      </w:tblGrid>
      <w:tr w:rsidR="00287A3C" w:rsidRPr="00287A3C" w14:paraId="3738F563" w14:textId="77777777" w:rsidTr="002F6C46">
        <w:tc>
          <w:tcPr>
            <w:tcW w:w="3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BD7D04" w14:textId="77777777" w:rsidR="00287A3C" w:rsidRPr="002F6C46" w:rsidRDefault="00287A3C" w:rsidP="00287A3C">
            <w:pPr>
              <w:suppressAutoHyphens/>
              <w:autoSpaceDN w:val="0"/>
              <w:ind w:right="141"/>
              <w:textAlignment w:val="baseline"/>
              <w:rPr>
                <w:rFonts w:cs="Arial"/>
                <w:b/>
                <w:bCs/>
                <w:szCs w:val="24"/>
                <w:lang w:val="en-US" w:eastAsia="en-GB"/>
              </w:rPr>
            </w:pPr>
            <w:r w:rsidRPr="002F6C46">
              <w:rPr>
                <w:rFonts w:cs="Arial"/>
                <w:b/>
                <w:bCs/>
                <w:szCs w:val="24"/>
                <w:lang w:val="en-US" w:eastAsia="en-GB"/>
              </w:rPr>
              <w:t xml:space="preserve">Risk Description </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1DA7F" w14:textId="77777777" w:rsidR="00287A3C" w:rsidRPr="002F6C46" w:rsidRDefault="00287A3C" w:rsidP="00287A3C">
            <w:pPr>
              <w:suppressAutoHyphens/>
              <w:autoSpaceDN w:val="0"/>
              <w:ind w:right="141"/>
              <w:textAlignment w:val="baseline"/>
              <w:rPr>
                <w:rFonts w:cs="Arial"/>
                <w:b/>
                <w:bCs/>
                <w:szCs w:val="24"/>
                <w:lang w:val="en-US" w:eastAsia="en-GB"/>
              </w:rPr>
            </w:pPr>
            <w:r w:rsidRPr="002F6C46">
              <w:rPr>
                <w:rFonts w:cs="Arial"/>
                <w:b/>
                <w:bCs/>
                <w:szCs w:val="24"/>
                <w:lang w:val="en-US" w:eastAsia="en-GB"/>
              </w:rPr>
              <w:t xml:space="preserve">Mitigations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6D7FE05" w14:textId="77777777" w:rsidR="00287A3C" w:rsidRPr="002F6C46" w:rsidRDefault="00287A3C" w:rsidP="00287A3C">
            <w:pPr>
              <w:suppressAutoHyphens/>
              <w:autoSpaceDN w:val="0"/>
              <w:ind w:right="141"/>
              <w:jc w:val="center"/>
              <w:textAlignment w:val="baseline"/>
              <w:rPr>
                <w:rFonts w:cs="Arial"/>
                <w:b/>
                <w:bCs/>
                <w:szCs w:val="24"/>
                <w:lang w:val="en-US" w:eastAsia="en-GB"/>
              </w:rPr>
            </w:pPr>
            <w:r w:rsidRPr="002F6C46">
              <w:rPr>
                <w:rFonts w:cs="Arial"/>
                <w:b/>
                <w:bCs/>
                <w:szCs w:val="24"/>
                <w:lang w:val="en-US" w:eastAsia="en-GB"/>
              </w:rPr>
              <w:t xml:space="preserve">RAG Status </w:t>
            </w:r>
          </w:p>
        </w:tc>
      </w:tr>
      <w:tr w:rsidR="00287A3C" w:rsidRPr="00287A3C" w14:paraId="582C5E52" w14:textId="77777777" w:rsidTr="00BF0E89">
        <w:tc>
          <w:tcPr>
            <w:tcW w:w="3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A9C33" w14:textId="500FD585" w:rsidR="00287A3C" w:rsidRPr="00BF0E89" w:rsidRDefault="009B2CA4" w:rsidP="00287A3C">
            <w:pPr>
              <w:suppressAutoHyphens/>
              <w:autoSpaceDN w:val="0"/>
              <w:ind w:right="141"/>
              <w:textAlignment w:val="baseline"/>
              <w:rPr>
                <w:rFonts w:cs="Arial"/>
                <w:szCs w:val="24"/>
                <w:lang w:val="en-US" w:eastAsia="en-GB"/>
              </w:rPr>
            </w:pPr>
            <w:r w:rsidRPr="00BF0E89">
              <w:rPr>
                <w:szCs w:val="24"/>
              </w:rPr>
              <w:t>Calculation is inaccurate</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377DD" w14:textId="0A80AEFD" w:rsidR="00287A3C" w:rsidRPr="00BF0E89" w:rsidRDefault="009B2CA4" w:rsidP="002F6C46">
            <w:pPr>
              <w:numPr>
                <w:ilvl w:val="0"/>
                <w:numId w:val="17"/>
              </w:numPr>
              <w:suppressAutoHyphens/>
              <w:autoSpaceDN w:val="0"/>
              <w:ind w:left="171" w:right="141" w:hanging="171"/>
              <w:textAlignment w:val="baseline"/>
              <w:rPr>
                <w:rFonts w:cs="Arial"/>
                <w:szCs w:val="24"/>
                <w:lang w:val="en-US" w:eastAsia="en-GB"/>
              </w:rPr>
            </w:pPr>
            <w:r w:rsidRPr="00BF0E89">
              <w:rPr>
                <w:szCs w:val="24"/>
              </w:rPr>
              <w:t xml:space="preserve">Processes in place </w:t>
            </w:r>
            <w:r w:rsidR="002F6C46" w:rsidRPr="00BF0E89">
              <w:rPr>
                <w:szCs w:val="24"/>
              </w:rPr>
              <w:t>via system parameters to ensure only correct percentages are granted as relief. This is hard configured into the Northgate system and not subject to operative input</w:t>
            </w: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326141F7" w14:textId="77777777" w:rsidR="00287A3C" w:rsidRPr="002F6C46" w:rsidRDefault="00287A3C" w:rsidP="00287A3C">
            <w:pPr>
              <w:suppressAutoHyphens/>
              <w:autoSpaceDN w:val="0"/>
              <w:ind w:right="141"/>
              <w:textAlignment w:val="baseline"/>
              <w:rPr>
                <w:rFonts w:cs="Arial"/>
                <w:szCs w:val="24"/>
                <w:lang w:val="en-US" w:eastAsia="en-GB"/>
              </w:rPr>
            </w:pPr>
            <w:r w:rsidRPr="002F6C46">
              <w:rPr>
                <w:rFonts w:cs="Arial"/>
                <w:szCs w:val="24"/>
                <w:lang w:val="en-US" w:eastAsia="en-GB"/>
              </w:rPr>
              <w:t>Green</w:t>
            </w:r>
          </w:p>
        </w:tc>
      </w:tr>
      <w:tr w:rsidR="002F6C46" w:rsidRPr="00287A3C" w14:paraId="384B300B" w14:textId="77777777" w:rsidTr="00BF0E89">
        <w:tc>
          <w:tcPr>
            <w:tcW w:w="3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A642A" w14:textId="292442B8" w:rsidR="002F6C46" w:rsidRPr="00BF0E89" w:rsidRDefault="002F6C46" w:rsidP="002F6C46">
            <w:pPr>
              <w:suppressAutoHyphens/>
              <w:autoSpaceDN w:val="0"/>
              <w:ind w:right="141"/>
              <w:textAlignment w:val="baseline"/>
              <w:rPr>
                <w:szCs w:val="24"/>
              </w:rPr>
            </w:pPr>
            <w:r w:rsidRPr="00BF0E89">
              <w:rPr>
                <w:szCs w:val="24"/>
              </w:rPr>
              <w:t>Risk of fraudulent applications</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18B3B" w14:textId="49A9D949" w:rsidR="002F6C46" w:rsidRPr="00BF0E89" w:rsidRDefault="002F6C46" w:rsidP="002F6C46">
            <w:pPr>
              <w:numPr>
                <w:ilvl w:val="0"/>
                <w:numId w:val="17"/>
              </w:numPr>
              <w:suppressAutoHyphens/>
              <w:autoSpaceDN w:val="0"/>
              <w:ind w:left="171" w:right="141" w:hanging="171"/>
              <w:textAlignment w:val="baseline"/>
              <w:rPr>
                <w:szCs w:val="24"/>
              </w:rPr>
            </w:pPr>
            <w:r w:rsidRPr="00BF0E89">
              <w:rPr>
                <w:szCs w:val="24"/>
              </w:rPr>
              <w:t>Whilst MHCLG suggests no application is required, the Harrow process always tries to ensure an application is received so it can be fully assessed</w:t>
            </w:r>
          </w:p>
        </w:tc>
        <w:tc>
          <w:tcPr>
            <w:tcW w:w="895"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 w:type="dxa"/>
              <w:bottom w:w="0" w:type="dxa"/>
              <w:right w:w="10" w:type="dxa"/>
            </w:tcMar>
          </w:tcPr>
          <w:p w14:paraId="27B72675" w14:textId="2DF5974A" w:rsidR="002F6C46" w:rsidRPr="002F6C46" w:rsidRDefault="002F6C46" w:rsidP="002F6C46">
            <w:pPr>
              <w:suppressAutoHyphens/>
              <w:autoSpaceDN w:val="0"/>
              <w:ind w:right="141"/>
              <w:textAlignment w:val="baseline"/>
              <w:rPr>
                <w:rFonts w:cs="Arial"/>
                <w:szCs w:val="24"/>
                <w:lang w:val="en-US" w:eastAsia="en-GB"/>
              </w:rPr>
            </w:pPr>
            <w:r w:rsidRPr="002F6C46">
              <w:rPr>
                <w:rFonts w:cs="Arial"/>
                <w:szCs w:val="24"/>
                <w:lang w:val="en-US" w:eastAsia="en-GB"/>
              </w:rPr>
              <w:t>Amber</w:t>
            </w:r>
          </w:p>
        </w:tc>
      </w:tr>
      <w:tr w:rsidR="002F6C46" w:rsidRPr="00287A3C" w14:paraId="7597457D" w14:textId="77777777" w:rsidTr="00BF0E89">
        <w:tc>
          <w:tcPr>
            <w:tcW w:w="3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23605" w14:textId="41BCDAE3" w:rsidR="002F6C46" w:rsidRPr="00BF0E89" w:rsidRDefault="002F6C46" w:rsidP="002F6C46">
            <w:pPr>
              <w:suppressAutoHyphens/>
              <w:autoSpaceDN w:val="0"/>
              <w:ind w:right="141"/>
              <w:textAlignment w:val="baseline"/>
              <w:rPr>
                <w:szCs w:val="24"/>
              </w:rPr>
            </w:pPr>
            <w:r w:rsidRPr="00BF0E89">
              <w:rPr>
                <w:szCs w:val="24"/>
              </w:rPr>
              <w:t>Risk of Duplicate payments</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F2B84" w14:textId="36B82C6D" w:rsidR="002F6C46" w:rsidRPr="00BF0E89" w:rsidRDefault="002F6C46" w:rsidP="002F6C46">
            <w:pPr>
              <w:numPr>
                <w:ilvl w:val="0"/>
                <w:numId w:val="17"/>
              </w:numPr>
              <w:suppressAutoHyphens/>
              <w:autoSpaceDN w:val="0"/>
              <w:ind w:left="171" w:right="141" w:hanging="171"/>
              <w:textAlignment w:val="baseline"/>
              <w:rPr>
                <w:szCs w:val="24"/>
              </w:rPr>
            </w:pPr>
            <w:r w:rsidRPr="00BF0E89">
              <w:rPr>
                <w:szCs w:val="24"/>
              </w:rPr>
              <w:t>This is low as retail relief can only be given once on a specific property on the Northgate system. Once the relief is at the percentage configured within parameters, there is a cap on the amount of relief that the system can award.</w:t>
            </w: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7BB54EA7" w14:textId="067B46DA" w:rsidR="002F6C46" w:rsidRPr="002F6C46" w:rsidRDefault="002F6C46" w:rsidP="002F6C46">
            <w:pPr>
              <w:suppressAutoHyphens/>
              <w:autoSpaceDN w:val="0"/>
              <w:ind w:right="141"/>
              <w:textAlignment w:val="baseline"/>
              <w:rPr>
                <w:rFonts w:cs="Arial"/>
                <w:szCs w:val="24"/>
                <w:lang w:val="en-US" w:eastAsia="en-GB"/>
              </w:rPr>
            </w:pPr>
            <w:r w:rsidRPr="002F6C46">
              <w:rPr>
                <w:rFonts w:cs="Arial"/>
                <w:szCs w:val="24"/>
                <w:lang w:val="en-US" w:eastAsia="en-GB"/>
              </w:rPr>
              <w:t>Green</w:t>
            </w:r>
          </w:p>
        </w:tc>
      </w:tr>
      <w:tr w:rsidR="002F6C46" w:rsidRPr="00287A3C" w14:paraId="5CA3211D" w14:textId="77777777" w:rsidTr="00BF0E89">
        <w:tc>
          <w:tcPr>
            <w:tcW w:w="3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36420" w14:textId="5ACEEF89" w:rsidR="002F6C46" w:rsidRPr="00BF0E89" w:rsidRDefault="002F6C46" w:rsidP="002F6C46">
            <w:pPr>
              <w:suppressAutoHyphens/>
              <w:autoSpaceDN w:val="0"/>
              <w:ind w:right="141"/>
              <w:textAlignment w:val="baseline"/>
              <w:rPr>
                <w:szCs w:val="24"/>
              </w:rPr>
            </w:pPr>
            <w:r w:rsidRPr="00BF0E89">
              <w:rPr>
                <w:szCs w:val="24"/>
              </w:rPr>
              <w:t>Risk of not granting Retail Relief to eligible properties</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4EC94" w14:textId="41623154" w:rsidR="002F6C46" w:rsidRPr="00BF0E89" w:rsidRDefault="002F6C46" w:rsidP="002F6C46">
            <w:pPr>
              <w:numPr>
                <w:ilvl w:val="0"/>
                <w:numId w:val="17"/>
              </w:numPr>
              <w:suppressAutoHyphens/>
              <w:autoSpaceDN w:val="0"/>
              <w:ind w:left="171" w:right="141" w:hanging="171"/>
              <w:textAlignment w:val="baseline"/>
              <w:rPr>
                <w:szCs w:val="24"/>
              </w:rPr>
            </w:pPr>
            <w:r w:rsidRPr="00BF0E89">
              <w:rPr>
                <w:szCs w:val="24"/>
              </w:rPr>
              <w:t>All properties that previously were identified to receive relief in the preceding year will automatically qualify. There is a small risk that a few qualifying properties may have been missed out but this is very low.</w:t>
            </w: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0C34B226" w14:textId="6E40419C" w:rsidR="002F6C46" w:rsidRPr="002F6C46" w:rsidRDefault="002F6C46" w:rsidP="002F6C46">
            <w:pPr>
              <w:suppressAutoHyphens/>
              <w:autoSpaceDN w:val="0"/>
              <w:ind w:right="141"/>
              <w:textAlignment w:val="baseline"/>
              <w:rPr>
                <w:rFonts w:cs="Arial"/>
                <w:szCs w:val="24"/>
                <w:lang w:val="en-US" w:eastAsia="en-GB"/>
              </w:rPr>
            </w:pPr>
            <w:r w:rsidRPr="002F6C46">
              <w:rPr>
                <w:rFonts w:cs="Arial"/>
                <w:szCs w:val="24"/>
                <w:lang w:val="en-US" w:eastAsia="en-GB"/>
              </w:rPr>
              <w:t>Green</w:t>
            </w:r>
          </w:p>
        </w:tc>
      </w:tr>
    </w:tbl>
    <w:p w14:paraId="44109AEB" w14:textId="77777777" w:rsidR="00287A3C" w:rsidRDefault="00287A3C" w:rsidP="005F4153">
      <w:pPr>
        <w:jc w:val="both"/>
        <w:rPr>
          <w:rFonts w:cs="Arial"/>
          <w:szCs w:val="24"/>
          <w:lang w:eastAsia="en-GB"/>
        </w:rPr>
      </w:pPr>
    </w:p>
    <w:p w14:paraId="2668F184" w14:textId="62F6B674" w:rsidR="005F4153" w:rsidRPr="005F4153" w:rsidRDefault="00072112" w:rsidP="00072112">
      <w:pPr>
        <w:jc w:val="both"/>
        <w:rPr>
          <w:color w:val="000000"/>
        </w:rPr>
      </w:pPr>
      <w:r w:rsidRPr="005F4153">
        <w:rPr>
          <w:color w:val="000000"/>
        </w:rPr>
        <w:tab/>
      </w:r>
    </w:p>
    <w:p w14:paraId="0C4B2F2C" w14:textId="1CF81D09" w:rsidR="005F4153" w:rsidRPr="005F4153" w:rsidRDefault="005F4153" w:rsidP="005F4153">
      <w:pPr>
        <w:jc w:val="both"/>
        <w:rPr>
          <w:color w:val="000000"/>
        </w:rPr>
      </w:pPr>
      <w:r w:rsidRPr="005F4153">
        <w:rPr>
          <w:b/>
          <w:color w:val="000000"/>
          <w:sz w:val="28"/>
          <w:szCs w:val="28"/>
        </w:rPr>
        <w:t>Equalities implications</w:t>
      </w:r>
    </w:p>
    <w:p w14:paraId="4D4A6AEA" w14:textId="436943FE" w:rsidR="007F7FE6" w:rsidRDefault="007F7FE6" w:rsidP="007F7FE6">
      <w:pPr>
        <w:jc w:val="both"/>
        <w:rPr>
          <w:color w:val="000000"/>
        </w:rPr>
      </w:pPr>
      <w:r w:rsidRPr="00574F38">
        <w:rPr>
          <w:color w:val="000000"/>
        </w:rPr>
        <w:t>A</w:t>
      </w:r>
      <w:r>
        <w:rPr>
          <w:color w:val="000000"/>
        </w:rPr>
        <w:t>n</w:t>
      </w:r>
      <w:r w:rsidRPr="00574F38">
        <w:rPr>
          <w:color w:val="000000"/>
        </w:rPr>
        <w:t xml:space="preserve"> Equalities Impact Assessment </w:t>
      </w:r>
      <w:r>
        <w:rPr>
          <w:color w:val="000000"/>
        </w:rPr>
        <w:t>was originally</w:t>
      </w:r>
      <w:r w:rsidRPr="00574F38">
        <w:rPr>
          <w:color w:val="000000"/>
        </w:rPr>
        <w:t xml:space="preserve"> undertaken </w:t>
      </w:r>
      <w:r>
        <w:rPr>
          <w:color w:val="000000"/>
        </w:rPr>
        <w:t>in relation to the original policy implemented and still applies</w:t>
      </w:r>
      <w:r w:rsidRPr="00574F38">
        <w:rPr>
          <w:color w:val="000000"/>
        </w:rPr>
        <w:t xml:space="preserve">. </w:t>
      </w:r>
    </w:p>
    <w:p w14:paraId="37888122" w14:textId="77777777" w:rsidR="007F7FE6" w:rsidRDefault="007F7FE6" w:rsidP="005F4153">
      <w:pPr>
        <w:jc w:val="both"/>
        <w:rPr>
          <w:color w:val="000000"/>
        </w:rPr>
      </w:pPr>
    </w:p>
    <w:p w14:paraId="739EF616" w14:textId="77777777" w:rsidR="005F4153" w:rsidRPr="005F4153" w:rsidRDefault="005F4153" w:rsidP="005F4153">
      <w:pPr>
        <w:jc w:val="both"/>
        <w:rPr>
          <w:color w:val="000000"/>
        </w:rPr>
      </w:pPr>
      <w:r w:rsidRPr="005F4153">
        <w:rPr>
          <w:b/>
          <w:color w:val="000000"/>
          <w:sz w:val="28"/>
          <w:szCs w:val="28"/>
        </w:rPr>
        <w:t>Corporate Priorities</w:t>
      </w:r>
    </w:p>
    <w:p w14:paraId="0A58E664" w14:textId="77777777" w:rsidR="003A5B36" w:rsidRDefault="005F4153" w:rsidP="005F4153">
      <w:pPr>
        <w:jc w:val="both"/>
      </w:pPr>
      <w:r w:rsidRPr="005F4153">
        <w:t xml:space="preserve">Agreeing the </w:t>
      </w:r>
      <w:r w:rsidR="003A5B36">
        <w:t xml:space="preserve">relief policy </w:t>
      </w:r>
      <w:r w:rsidRPr="005F4153">
        <w:t xml:space="preserve">allows the Council to </w:t>
      </w:r>
      <w:r w:rsidR="003A5B36">
        <w:t>support local businesses by awarding them up to £22.2m retail relief which in turns supports them in recovering from the pandemic.</w:t>
      </w:r>
    </w:p>
    <w:p w14:paraId="6D026BAB" w14:textId="54E3F782" w:rsidR="003A5B36" w:rsidRDefault="003A5B36" w:rsidP="005F4153">
      <w:pPr>
        <w:jc w:val="both"/>
      </w:pPr>
    </w:p>
    <w:p w14:paraId="02567BB3" w14:textId="77777777" w:rsidR="00BF0E89" w:rsidRPr="00BF0E89" w:rsidRDefault="00BF0E89" w:rsidP="00BF0E89">
      <w:pPr>
        <w:pStyle w:val="Heading2"/>
        <w:spacing w:before="480" w:after="240"/>
        <w:rPr>
          <w:rFonts w:ascii="Arial Black" w:hAnsi="Arial Black"/>
          <w:b w:val="0"/>
          <w:sz w:val="32"/>
        </w:rPr>
      </w:pPr>
      <w:r w:rsidRPr="00BF0E89">
        <w:rPr>
          <w:rFonts w:ascii="Arial Black" w:hAnsi="Arial Black"/>
          <w:b w:val="0"/>
          <w:sz w:val="32"/>
        </w:rPr>
        <w:t>Section 3 - Statutory Officer Clearance</w:t>
      </w:r>
    </w:p>
    <w:p w14:paraId="4B1DDBA4" w14:textId="35386C4D" w:rsidR="00BF0E89" w:rsidRPr="00A66326" w:rsidRDefault="00BF0E89" w:rsidP="00BF0E89">
      <w:pPr>
        <w:rPr>
          <w:sz w:val="28"/>
        </w:rPr>
      </w:pPr>
      <w:r w:rsidRPr="00A66326">
        <w:rPr>
          <w:b/>
          <w:sz w:val="28"/>
        </w:rPr>
        <w:t xml:space="preserve">Statutory Officer:  </w:t>
      </w:r>
      <w:r>
        <w:rPr>
          <w:b/>
          <w:sz w:val="28"/>
        </w:rPr>
        <w:t>Sharon Daniels</w:t>
      </w:r>
    </w:p>
    <w:p w14:paraId="537FF11A" w14:textId="5249EFA3" w:rsidR="00BF0E89" w:rsidRPr="00A66326" w:rsidRDefault="00BF0E89" w:rsidP="00BF0E89">
      <w:r w:rsidRPr="00A66326">
        <w:t>Signed on behalf of the Chief Financial Officer</w:t>
      </w:r>
    </w:p>
    <w:p w14:paraId="130E733A" w14:textId="41279E5B" w:rsidR="00BF0E89" w:rsidRPr="00A66326" w:rsidRDefault="00BF0E89" w:rsidP="00BF0E89">
      <w:pPr>
        <w:spacing w:after="480"/>
        <w:rPr>
          <w:sz w:val="28"/>
        </w:rPr>
      </w:pPr>
      <w:r w:rsidRPr="00A66326">
        <w:rPr>
          <w:b/>
          <w:sz w:val="28"/>
        </w:rPr>
        <w:t xml:space="preserve">Date:  </w:t>
      </w:r>
      <w:r>
        <w:rPr>
          <w:b/>
          <w:sz w:val="28"/>
        </w:rPr>
        <w:t>25/03/2021</w:t>
      </w:r>
    </w:p>
    <w:p w14:paraId="2C672614" w14:textId="1A9EA929" w:rsidR="00BF0E89" w:rsidRPr="00A66326" w:rsidRDefault="00BF0E89" w:rsidP="00BF0E89">
      <w:pPr>
        <w:rPr>
          <w:sz w:val="28"/>
        </w:rPr>
      </w:pPr>
      <w:r w:rsidRPr="00A66326">
        <w:rPr>
          <w:b/>
          <w:sz w:val="28"/>
        </w:rPr>
        <w:lastRenderedPageBreak/>
        <w:t xml:space="preserve">Statutory Officer:  </w:t>
      </w:r>
      <w:r>
        <w:rPr>
          <w:b/>
          <w:sz w:val="28"/>
        </w:rPr>
        <w:t>Andrew Lucas</w:t>
      </w:r>
    </w:p>
    <w:p w14:paraId="0C2C94FA" w14:textId="18132705" w:rsidR="00BF0E89" w:rsidRPr="00A66326" w:rsidRDefault="00BF0E89" w:rsidP="00BF0E89">
      <w:r w:rsidRPr="00A66326">
        <w:t>Signed on behalf of</w:t>
      </w:r>
      <w:r>
        <w:t xml:space="preserve"> </w:t>
      </w:r>
      <w:r w:rsidRPr="00A66326">
        <w:t>the Monitoring Officer</w:t>
      </w:r>
    </w:p>
    <w:p w14:paraId="56B6C60F" w14:textId="15BE486F" w:rsidR="00BF0E89" w:rsidRPr="003313EA" w:rsidRDefault="00BF0E89" w:rsidP="00BF0E89">
      <w:pPr>
        <w:spacing w:after="480"/>
        <w:rPr>
          <w:sz w:val="28"/>
        </w:rPr>
      </w:pPr>
      <w:r w:rsidRPr="00A66326">
        <w:rPr>
          <w:b/>
          <w:sz w:val="28"/>
        </w:rPr>
        <w:t xml:space="preserve">Date: </w:t>
      </w:r>
      <w:r>
        <w:rPr>
          <w:b/>
          <w:sz w:val="28"/>
        </w:rPr>
        <w:t>25/03/2021</w:t>
      </w:r>
      <w:r w:rsidRPr="00A66326">
        <w:rPr>
          <w:b/>
          <w:sz w:val="28"/>
        </w:rPr>
        <w:t xml:space="preserve"> </w:t>
      </w:r>
    </w:p>
    <w:p w14:paraId="3CD90172" w14:textId="731E85AC" w:rsidR="00BF0E89" w:rsidRPr="00A66326" w:rsidRDefault="00BF0E89" w:rsidP="00BF0E89">
      <w:pPr>
        <w:rPr>
          <w:sz w:val="28"/>
        </w:rPr>
      </w:pPr>
      <w:r>
        <w:rPr>
          <w:b/>
          <w:sz w:val="28"/>
        </w:rPr>
        <w:t>Chief</w:t>
      </w:r>
      <w:r w:rsidRPr="00A66326">
        <w:rPr>
          <w:b/>
          <w:sz w:val="28"/>
        </w:rPr>
        <w:t xml:space="preserve"> Officer:  </w:t>
      </w:r>
      <w:r>
        <w:rPr>
          <w:b/>
          <w:sz w:val="28"/>
        </w:rPr>
        <w:t>Charlie Stewart</w:t>
      </w:r>
    </w:p>
    <w:p w14:paraId="6C193DA4" w14:textId="1533B0D2" w:rsidR="00BF0E89" w:rsidRPr="00A66326" w:rsidRDefault="00BF0E89" w:rsidP="00BF0E89">
      <w:r w:rsidRPr="00A66326">
        <w:t xml:space="preserve">Signed </w:t>
      </w:r>
      <w:r>
        <w:t>off by the Corporate Director</w:t>
      </w:r>
    </w:p>
    <w:p w14:paraId="18B34934" w14:textId="25BAD25E" w:rsidR="00BF0E89" w:rsidRPr="00A66326" w:rsidRDefault="00BF0E89" w:rsidP="00BF0E89">
      <w:pPr>
        <w:spacing w:after="480"/>
        <w:rPr>
          <w:sz w:val="28"/>
        </w:rPr>
      </w:pPr>
      <w:r w:rsidRPr="00A66326">
        <w:rPr>
          <w:b/>
          <w:sz w:val="28"/>
        </w:rPr>
        <w:t xml:space="preserve">Date:  </w:t>
      </w:r>
      <w:r>
        <w:rPr>
          <w:b/>
          <w:sz w:val="28"/>
        </w:rPr>
        <w:t>22/03/2021</w:t>
      </w:r>
    </w:p>
    <w:p w14:paraId="310C13B4" w14:textId="57F4B3C9" w:rsidR="00BF0E89" w:rsidRPr="00A66326" w:rsidRDefault="00BF0E89" w:rsidP="00BF0E89">
      <w:pPr>
        <w:rPr>
          <w:sz w:val="28"/>
        </w:rPr>
      </w:pPr>
      <w:r>
        <w:rPr>
          <w:b/>
          <w:sz w:val="28"/>
        </w:rPr>
        <w:t>Head of Procurement</w:t>
      </w:r>
      <w:r w:rsidRPr="00A66326">
        <w:rPr>
          <w:b/>
          <w:sz w:val="28"/>
        </w:rPr>
        <w:t xml:space="preserve">:  </w:t>
      </w:r>
      <w:proofErr w:type="spellStart"/>
      <w:r>
        <w:rPr>
          <w:b/>
          <w:sz w:val="28"/>
        </w:rPr>
        <w:t>Nimesh</w:t>
      </w:r>
      <w:proofErr w:type="spellEnd"/>
      <w:r>
        <w:rPr>
          <w:b/>
          <w:sz w:val="28"/>
        </w:rPr>
        <w:t xml:space="preserve"> Mehta</w:t>
      </w:r>
    </w:p>
    <w:p w14:paraId="375CA2A1" w14:textId="4D74BE5A" w:rsidR="00BF0E89" w:rsidRPr="00A66326" w:rsidRDefault="00BF0E89" w:rsidP="00BF0E89">
      <w:r w:rsidRPr="00A66326">
        <w:t xml:space="preserve">Signed by the </w:t>
      </w:r>
      <w:r>
        <w:t>Head of Procurement</w:t>
      </w:r>
    </w:p>
    <w:p w14:paraId="10354709" w14:textId="152E6CD0" w:rsidR="00BF0E89" w:rsidRPr="003313EA" w:rsidRDefault="00BF0E89" w:rsidP="00BF0E89">
      <w:pPr>
        <w:spacing w:after="480"/>
        <w:rPr>
          <w:sz w:val="28"/>
        </w:rPr>
      </w:pPr>
      <w:r w:rsidRPr="00A66326">
        <w:rPr>
          <w:b/>
          <w:sz w:val="28"/>
        </w:rPr>
        <w:t xml:space="preserve">Date:  </w:t>
      </w:r>
      <w:r>
        <w:rPr>
          <w:b/>
          <w:sz w:val="28"/>
        </w:rPr>
        <w:t>22/03/2021</w:t>
      </w:r>
    </w:p>
    <w:p w14:paraId="66F2D45F" w14:textId="53DFE974" w:rsidR="00BF0E89" w:rsidRPr="00A66326" w:rsidRDefault="00BF0E89" w:rsidP="00BF0E89">
      <w:pPr>
        <w:rPr>
          <w:sz w:val="28"/>
        </w:rPr>
      </w:pPr>
      <w:r>
        <w:rPr>
          <w:b/>
          <w:sz w:val="28"/>
        </w:rPr>
        <w:t>Head of Internal Audit</w:t>
      </w:r>
      <w:r w:rsidRPr="00A66326">
        <w:rPr>
          <w:b/>
          <w:sz w:val="28"/>
        </w:rPr>
        <w:t xml:space="preserve">:  </w:t>
      </w:r>
      <w:r>
        <w:rPr>
          <w:b/>
          <w:sz w:val="28"/>
        </w:rPr>
        <w:t xml:space="preserve">Susan Dixson </w:t>
      </w:r>
    </w:p>
    <w:p w14:paraId="0CCA31E2" w14:textId="42B62427" w:rsidR="00BF0E89" w:rsidRPr="00A66326" w:rsidRDefault="00BF0E89" w:rsidP="00BF0E89">
      <w:r w:rsidRPr="00A66326">
        <w:t>Signed</w:t>
      </w:r>
      <w:r>
        <w:t xml:space="preserve"> </w:t>
      </w:r>
      <w:r w:rsidRPr="00A66326">
        <w:t xml:space="preserve">by the </w:t>
      </w:r>
      <w:r>
        <w:t>Head of Internal Audit</w:t>
      </w:r>
    </w:p>
    <w:p w14:paraId="767E6F06" w14:textId="30972C36" w:rsidR="00BF0E89" w:rsidRDefault="00BF0E89" w:rsidP="00BF0E89">
      <w:pPr>
        <w:pStyle w:val="Heading2"/>
        <w:spacing w:after="240"/>
      </w:pPr>
      <w:r w:rsidRPr="00A66326">
        <w:t>Date:</w:t>
      </w:r>
      <w:r>
        <w:t xml:space="preserve"> </w:t>
      </w:r>
      <w:r w:rsidRPr="00BF0E89">
        <w:rPr>
          <w:rFonts w:cs="Times New Roman"/>
          <w:bCs w:val="0"/>
          <w:szCs w:val="20"/>
        </w:rPr>
        <w:t>26/04/2021</w:t>
      </w:r>
    </w:p>
    <w:p w14:paraId="36CEB809" w14:textId="77777777" w:rsidR="00BF0E89" w:rsidRPr="00435B5D" w:rsidRDefault="00BF0E89" w:rsidP="00BF0E89">
      <w:pPr>
        <w:pStyle w:val="Heading2"/>
        <w:spacing w:before="480" w:after="240"/>
      </w:pPr>
      <w:r>
        <w:t>Mandatory Checks</w:t>
      </w:r>
    </w:p>
    <w:p w14:paraId="337704AA" w14:textId="6BC28775" w:rsidR="00BF0E89" w:rsidRPr="00A406F3" w:rsidRDefault="00BF0E89" w:rsidP="00BF0E89">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6BBC5F42" w14:textId="6E8EA73E" w:rsidR="00BF0E89" w:rsidRPr="00202D79" w:rsidRDefault="00BF0E89" w:rsidP="00BF0E89">
      <w:pPr>
        <w:pStyle w:val="Heading3"/>
        <w:spacing w:before="240"/>
        <w:rPr>
          <w:b w:val="0"/>
        </w:rPr>
      </w:pPr>
      <w:proofErr w:type="spellStart"/>
      <w:r w:rsidRPr="00202D79">
        <w:t>EqIA</w:t>
      </w:r>
      <w:proofErr w:type="spellEnd"/>
      <w:r w:rsidRPr="00202D79">
        <w:t xml:space="preserve"> carried out:</w:t>
      </w:r>
      <w:r>
        <w:t xml:space="preserve">  </w:t>
      </w:r>
      <w:r w:rsidRPr="00202D79">
        <w:t>NO</w:t>
      </w:r>
    </w:p>
    <w:p w14:paraId="33B09DBC" w14:textId="5846E0CC" w:rsidR="00BF0E89" w:rsidRPr="00303FD6" w:rsidRDefault="00BF0E89" w:rsidP="00BF0E89">
      <w:pPr>
        <w:pStyle w:val="Heading3"/>
        <w:spacing w:before="240"/>
        <w:jc w:val="left"/>
        <w:rPr>
          <w:color w:val="FF0000"/>
        </w:rPr>
      </w:pPr>
      <w:proofErr w:type="spellStart"/>
      <w:r w:rsidRPr="00202D79">
        <w:t>EqIA</w:t>
      </w:r>
      <w:proofErr w:type="spellEnd"/>
      <w:r w:rsidRPr="00202D79">
        <w:t xml:space="preserve"> cleared by:</w:t>
      </w:r>
      <w:r>
        <w:t xml:space="preserve">  N/A</w:t>
      </w:r>
    </w:p>
    <w:p w14:paraId="19A00ACB" w14:textId="77777777" w:rsidR="00BF0E89" w:rsidRPr="00BF0E89" w:rsidRDefault="00BF0E89" w:rsidP="00BF0E89">
      <w:pPr>
        <w:pStyle w:val="Heading2"/>
        <w:spacing w:before="480" w:after="240"/>
        <w:rPr>
          <w:rFonts w:ascii="Arial Black" w:hAnsi="Arial Black"/>
          <w:b w:val="0"/>
          <w:sz w:val="32"/>
        </w:rPr>
      </w:pPr>
      <w:r w:rsidRPr="00BF0E89">
        <w:rPr>
          <w:rFonts w:ascii="Arial Black" w:hAnsi="Arial Black"/>
          <w:b w:val="0"/>
          <w:sz w:val="32"/>
        </w:rPr>
        <w:t>Section 4 - Contact Details and Background Papers</w:t>
      </w:r>
    </w:p>
    <w:p w14:paraId="552D4002" w14:textId="77777777" w:rsidR="00BF0E89" w:rsidRPr="00BF0E89" w:rsidRDefault="00BF0E89" w:rsidP="00BF0E89">
      <w:pPr>
        <w:keepNext/>
        <w:rPr>
          <w:rFonts w:cs="Arial"/>
          <w:sz w:val="28"/>
          <w:szCs w:val="22"/>
        </w:rPr>
      </w:pPr>
      <w:r w:rsidRPr="004E47FC">
        <w:rPr>
          <w:b/>
        </w:rPr>
        <w:t xml:space="preserve">Contact:  </w:t>
      </w:r>
      <w:r w:rsidRPr="00BF0E89">
        <w:rPr>
          <w:rFonts w:cs="Arial"/>
          <w:sz w:val="28"/>
          <w:szCs w:val="22"/>
        </w:rPr>
        <w:t>Fern Silverio (Head of Service – Collections &amp; Housing Benefits),</w:t>
      </w:r>
    </w:p>
    <w:p w14:paraId="43FD7DA5" w14:textId="3430D612" w:rsidR="00BF0E89" w:rsidRPr="00BF0E89" w:rsidRDefault="00BF0E89" w:rsidP="00BF0E89">
      <w:pPr>
        <w:keepNext/>
        <w:rPr>
          <w:rFonts w:cs="Arial"/>
          <w:sz w:val="28"/>
          <w:szCs w:val="22"/>
        </w:rPr>
      </w:pPr>
      <w:r w:rsidRPr="00BF0E89">
        <w:rPr>
          <w:rFonts w:cs="Arial"/>
          <w:sz w:val="28"/>
          <w:szCs w:val="22"/>
        </w:rPr>
        <w:t xml:space="preserve">Tel: 020-8736-6818 / email: </w:t>
      </w:r>
      <w:hyperlink r:id="rId15" w:history="1">
        <w:r w:rsidRPr="00BF0E89">
          <w:rPr>
            <w:rStyle w:val="Hyperlink"/>
            <w:rFonts w:cs="Arial"/>
            <w:sz w:val="28"/>
            <w:szCs w:val="22"/>
          </w:rPr>
          <w:t>fern.silverio@harrow.gov.uk</w:t>
        </w:r>
      </w:hyperlink>
    </w:p>
    <w:p w14:paraId="6F9502F5" w14:textId="77777777" w:rsidR="00BF0E89" w:rsidRPr="0029068F" w:rsidRDefault="00BF0E89" w:rsidP="00BF0E89">
      <w:pPr>
        <w:keepNext/>
        <w:rPr>
          <w:rFonts w:cs="Arial"/>
        </w:rPr>
      </w:pPr>
    </w:p>
    <w:p w14:paraId="1DD648B3" w14:textId="4F39C4F8" w:rsidR="00BF0E89" w:rsidRDefault="00BF0E89" w:rsidP="00BF0E89">
      <w:pPr>
        <w:pStyle w:val="Infotext"/>
        <w:spacing w:after="240"/>
        <w:rPr>
          <w:b/>
        </w:rPr>
      </w:pPr>
      <w:r w:rsidRPr="004E47FC">
        <w:rPr>
          <w:b/>
        </w:rPr>
        <w:t xml:space="preserve">Background Papers: </w:t>
      </w:r>
      <w:r>
        <w:rPr>
          <w:b/>
        </w:rPr>
        <w:t xml:space="preserve"> </w:t>
      </w:r>
      <w:r w:rsidRPr="00BF0E89">
        <w:t>None</w:t>
      </w:r>
    </w:p>
    <w:p w14:paraId="0F54A5AB" w14:textId="77777777" w:rsidR="00BF0E89" w:rsidRPr="007C0DC3" w:rsidRDefault="00BF0E89" w:rsidP="00BF0E89">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3D645BE7" w14:textId="134CE941" w:rsidR="00BF0E89" w:rsidRPr="003D78F6" w:rsidRDefault="00BF0E89" w:rsidP="00BF0E89">
      <w:pPr>
        <w:pStyle w:val="Infotext"/>
        <w:rPr>
          <w:i/>
          <w:sz w:val="24"/>
          <w:szCs w:val="24"/>
        </w:rPr>
      </w:pPr>
    </w:p>
    <w:p w14:paraId="54FB8615" w14:textId="362EC4E8" w:rsidR="00BF0E89" w:rsidRPr="00ED6776" w:rsidRDefault="00BF0E89" w:rsidP="00BF0E89">
      <w:pPr>
        <w:pStyle w:val="Infotext"/>
        <w:spacing w:before="240"/>
        <w:rPr>
          <w:rFonts w:cs="Arial"/>
          <w:i/>
          <w:sz w:val="24"/>
          <w:szCs w:val="24"/>
          <w:lang w:eastAsia="en-GB"/>
        </w:rPr>
      </w:pPr>
      <w:r w:rsidRPr="003D78F6">
        <w:rPr>
          <w:b/>
        </w:rPr>
        <w:t xml:space="preserve">NO </w:t>
      </w:r>
    </w:p>
    <w:p w14:paraId="489B213A" w14:textId="77777777" w:rsidR="00BF0E89" w:rsidRDefault="00BF0E89" w:rsidP="005F4153">
      <w:pPr>
        <w:jc w:val="both"/>
      </w:pPr>
    </w:p>
    <w:p w14:paraId="4D9CD7E5" w14:textId="77777777" w:rsidR="00435B5D" w:rsidRDefault="00435B5D" w:rsidP="00333FAA"/>
    <w:p w14:paraId="15134DFA" w14:textId="77777777" w:rsidR="00435B5D" w:rsidRDefault="00435B5D" w:rsidP="00333FAA"/>
    <w:p w14:paraId="017ED8E8" w14:textId="77777777" w:rsidR="000D4E36" w:rsidRDefault="000D4E36" w:rsidP="001614E0"/>
    <w:p w14:paraId="7A53FED0" w14:textId="77777777" w:rsidR="00B229EB" w:rsidRDefault="00B229EB" w:rsidP="001614E0">
      <w:pPr>
        <w:rPr>
          <w:noProof/>
          <w:lang w:eastAsia="en-GB"/>
        </w:rPr>
      </w:pPr>
    </w:p>
    <w:p w14:paraId="03637D29" w14:textId="72134AD9" w:rsidR="000405EA" w:rsidRDefault="000405EA" w:rsidP="001614E0"/>
    <w:p w14:paraId="692B64DC" w14:textId="40C939D8" w:rsidR="001A110D" w:rsidRDefault="001A110D" w:rsidP="001614E0"/>
    <w:p w14:paraId="02BCD8DB" w14:textId="21D804AE" w:rsidR="001A110D" w:rsidRDefault="001A110D" w:rsidP="001614E0"/>
    <w:p w14:paraId="08F0451A" w14:textId="77777777" w:rsidR="001A110D" w:rsidRDefault="001A110D" w:rsidP="001614E0"/>
    <w:sectPr w:rsidR="001A110D" w:rsidSect="001614E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7DAA8" w14:textId="77777777" w:rsidR="00C64A6E" w:rsidRDefault="00C64A6E">
      <w:r>
        <w:separator/>
      </w:r>
    </w:p>
  </w:endnote>
  <w:endnote w:type="continuationSeparator" w:id="0">
    <w:p w14:paraId="1550E7A0" w14:textId="77777777" w:rsidR="00C64A6E" w:rsidRDefault="00C6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62940" w14:textId="77777777" w:rsidR="00C64A6E" w:rsidRDefault="00C64A6E">
      <w:r>
        <w:separator/>
      </w:r>
    </w:p>
  </w:footnote>
  <w:footnote w:type="continuationSeparator" w:id="0">
    <w:p w14:paraId="080199C5" w14:textId="77777777" w:rsidR="00C64A6E" w:rsidRDefault="00C64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49A"/>
    <w:multiLevelType w:val="hybridMultilevel"/>
    <w:tmpl w:val="B0986A3E"/>
    <w:lvl w:ilvl="0" w:tplc="81F660A2">
      <w:start w:val="1"/>
      <w:numFmt w:val="lowerRoman"/>
      <w:lvlText w:val="%1."/>
      <w:lvlJc w:val="left"/>
      <w:pPr>
        <w:tabs>
          <w:tab w:val="num" w:pos="1080"/>
        </w:tabs>
        <w:ind w:left="1080" w:hanging="360"/>
      </w:pPr>
      <w:rPr>
        <w:rFonts w:cs="Times New Roman" w:hint="default"/>
      </w:rPr>
    </w:lvl>
    <w:lvl w:ilvl="1" w:tplc="CA48C81C">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
    <w:nsid w:val="08D33BB5"/>
    <w:multiLevelType w:val="hybridMultilevel"/>
    <w:tmpl w:val="0B60C13A"/>
    <w:lvl w:ilvl="0" w:tplc="C846B688">
      <w:start w:val="1"/>
      <w:numFmt w:val="low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2">
    <w:nsid w:val="1402538F"/>
    <w:multiLevelType w:val="hybridMultilevel"/>
    <w:tmpl w:val="DFD4482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8534D75"/>
    <w:multiLevelType w:val="hybridMultilevel"/>
    <w:tmpl w:val="EF2E66BA"/>
    <w:lvl w:ilvl="0" w:tplc="E2FA5492">
      <w:start w:val="3"/>
      <w:numFmt w:val="lowerLetter"/>
      <w:lvlText w:val="(%1)"/>
      <w:lvlJc w:val="left"/>
      <w:pPr>
        <w:tabs>
          <w:tab w:val="num" w:pos="720"/>
        </w:tabs>
        <w:ind w:left="720" w:hanging="390"/>
      </w:pPr>
      <w:rPr>
        <w:rFonts w:cs="Times New Roman" w:hint="default"/>
      </w:rPr>
    </w:lvl>
    <w:lvl w:ilvl="1" w:tplc="04090019" w:tentative="1">
      <w:start w:val="1"/>
      <w:numFmt w:val="lowerLetter"/>
      <w:lvlText w:val="%2."/>
      <w:lvlJc w:val="left"/>
      <w:pPr>
        <w:tabs>
          <w:tab w:val="num" w:pos="1410"/>
        </w:tabs>
        <w:ind w:left="1410" w:hanging="360"/>
      </w:pPr>
      <w:rPr>
        <w:rFonts w:cs="Times New Roman"/>
      </w:rPr>
    </w:lvl>
    <w:lvl w:ilvl="2" w:tplc="0409001B" w:tentative="1">
      <w:start w:val="1"/>
      <w:numFmt w:val="lowerRoman"/>
      <w:lvlText w:val="%3."/>
      <w:lvlJc w:val="right"/>
      <w:pPr>
        <w:tabs>
          <w:tab w:val="num" w:pos="2130"/>
        </w:tabs>
        <w:ind w:left="2130" w:hanging="180"/>
      </w:pPr>
      <w:rPr>
        <w:rFonts w:cs="Times New Roman"/>
      </w:rPr>
    </w:lvl>
    <w:lvl w:ilvl="3" w:tplc="0409000F" w:tentative="1">
      <w:start w:val="1"/>
      <w:numFmt w:val="decimal"/>
      <w:lvlText w:val="%4."/>
      <w:lvlJc w:val="left"/>
      <w:pPr>
        <w:tabs>
          <w:tab w:val="num" w:pos="2850"/>
        </w:tabs>
        <w:ind w:left="2850" w:hanging="360"/>
      </w:pPr>
      <w:rPr>
        <w:rFonts w:cs="Times New Roman"/>
      </w:rPr>
    </w:lvl>
    <w:lvl w:ilvl="4" w:tplc="04090019" w:tentative="1">
      <w:start w:val="1"/>
      <w:numFmt w:val="lowerLetter"/>
      <w:lvlText w:val="%5."/>
      <w:lvlJc w:val="left"/>
      <w:pPr>
        <w:tabs>
          <w:tab w:val="num" w:pos="3570"/>
        </w:tabs>
        <w:ind w:left="3570" w:hanging="360"/>
      </w:pPr>
      <w:rPr>
        <w:rFonts w:cs="Times New Roman"/>
      </w:rPr>
    </w:lvl>
    <w:lvl w:ilvl="5" w:tplc="0409001B" w:tentative="1">
      <w:start w:val="1"/>
      <w:numFmt w:val="lowerRoman"/>
      <w:lvlText w:val="%6."/>
      <w:lvlJc w:val="right"/>
      <w:pPr>
        <w:tabs>
          <w:tab w:val="num" w:pos="4290"/>
        </w:tabs>
        <w:ind w:left="4290" w:hanging="180"/>
      </w:pPr>
      <w:rPr>
        <w:rFonts w:cs="Times New Roman"/>
      </w:rPr>
    </w:lvl>
    <w:lvl w:ilvl="6" w:tplc="0409000F" w:tentative="1">
      <w:start w:val="1"/>
      <w:numFmt w:val="decimal"/>
      <w:lvlText w:val="%7."/>
      <w:lvlJc w:val="left"/>
      <w:pPr>
        <w:tabs>
          <w:tab w:val="num" w:pos="5010"/>
        </w:tabs>
        <w:ind w:left="5010" w:hanging="360"/>
      </w:pPr>
      <w:rPr>
        <w:rFonts w:cs="Times New Roman"/>
      </w:rPr>
    </w:lvl>
    <w:lvl w:ilvl="7" w:tplc="04090019" w:tentative="1">
      <w:start w:val="1"/>
      <w:numFmt w:val="lowerLetter"/>
      <w:lvlText w:val="%8."/>
      <w:lvlJc w:val="left"/>
      <w:pPr>
        <w:tabs>
          <w:tab w:val="num" w:pos="5730"/>
        </w:tabs>
        <w:ind w:left="5730" w:hanging="360"/>
      </w:pPr>
      <w:rPr>
        <w:rFonts w:cs="Times New Roman"/>
      </w:rPr>
    </w:lvl>
    <w:lvl w:ilvl="8" w:tplc="0409001B" w:tentative="1">
      <w:start w:val="1"/>
      <w:numFmt w:val="lowerRoman"/>
      <w:lvlText w:val="%9."/>
      <w:lvlJc w:val="right"/>
      <w:pPr>
        <w:tabs>
          <w:tab w:val="num" w:pos="6450"/>
        </w:tabs>
        <w:ind w:left="6450" w:hanging="180"/>
      </w:pPr>
      <w:rPr>
        <w:rFonts w:cs="Times New Roman"/>
      </w:rPr>
    </w:lvl>
  </w:abstractNum>
  <w:abstractNum w:abstractNumId="5">
    <w:nsid w:val="1D075393"/>
    <w:multiLevelType w:val="multilevel"/>
    <w:tmpl w:val="E2E0670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FEA08FA"/>
    <w:multiLevelType w:val="multilevel"/>
    <w:tmpl w:val="046281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562390C"/>
    <w:multiLevelType w:val="hybridMultilevel"/>
    <w:tmpl w:val="F48E7F38"/>
    <w:lvl w:ilvl="0" w:tplc="F5902A24">
      <w:start w:val="1"/>
      <w:numFmt w:val="bullet"/>
      <w:lvlText w:val=""/>
      <w:lvlJc w:val="left"/>
      <w:pPr>
        <w:tabs>
          <w:tab w:val="num" w:pos="786"/>
        </w:tabs>
        <w:ind w:left="78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754FB7"/>
    <w:multiLevelType w:val="hybridMultilevel"/>
    <w:tmpl w:val="7F9043FA"/>
    <w:lvl w:ilvl="0" w:tplc="0409000F">
      <w:start w:val="1"/>
      <w:numFmt w:val="decimal"/>
      <w:lvlText w:val="%1."/>
      <w:lvlJc w:val="left"/>
      <w:pPr>
        <w:tabs>
          <w:tab w:val="num" w:pos="1800"/>
        </w:tabs>
        <w:ind w:left="1800" w:hanging="360"/>
      </w:pPr>
      <w:rPr>
        <w:rFonts w:cs="Times New Roman"/>
      </w:rPr>
    </w:lvl>
    <w:lvl w:ilvl="1" w:tplc="E3B63D3C">
      <w:start w:val="2"/>
      <w:numFmt w:val="decimal"/>
      <w:lvlText w:val="15.%2"/>
      <w:lvlJc w:val="left"/>
      <w:pPr>
        <w:tabs>
          <w:tab w:val="num" w:pos="2897"/>
        </w:tabs>
        <w:ind w:left="2897" w:hanging="737"/>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nsid w:val="3B794CEC"/>
    <w:multiLevelType w:val="hybridMultilevel"/>
    <w:tmpl w:val="A38A713A"/>
    <w:lvl w:ilvl="0" w:tplc="04090001">
      <w:start w:val="1"/>
      <w:numFmt w:val="bullet"/>
      <w:lvlText w:val=""/>
      <w:lvlJc w:val="left"/>
      <w:pPr>
        <w:tabs>
          <w:tab w:val="num" w:pos="1080"/>
        </w:tabs>
        <w:ind w:left="1080" w:hanging="360"/>
      </w:pPr>
      <w:rPr>
        <w:rFonts w:ascii="Symbol" w:hAnsi="Symbol" w:hint="default"/>
      </w:rPr>
    </w:lvl>
    <w:lvl w:ilvl="1" w:tplc="B7C0D3F4">
      <w:start w:val="1"/>
      <w:numFmt w:val="decimal"/>
      <w:lvlText w:val="%2."/>
      <w:lvlJc w:val="left"/>
      <w:pPr>
        <w:tabs>
          <w:tab w:val="num" w:pos="1800"/>
        </w:tabs>
        <w:ind w:left="1800" w:hanging="360"/>
      </w:pPr>
      <w:rPr>
        <w:rFonts w:cs="Times New Roman"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FC538A9"/>
    <w:multiLevelType w:val="hybridMultilevel"/>
    <w:tmpl w:val="1222FE08"/>
    <w:lvl w:ilvl="0" w:tplc="422E4DDA">
      <w:start w:val="1"/>
      <w:numFmt w:val="lowerLetter"/>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5AAD56E8"/>
    <w:multiLevelType w:val="multilevel"/>
    <w:tmpl w:val="8BDE7044"/>
    <w:lvl w:ilvl="0">
      <w:start w:val="4"/>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72877046"/>
    <w:multiLevelType w:val="hybridMultilevel"/>
    <w:tmpl w:val="46942B8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B5D6C23"/>
    <w:multiLevelType w:val="hybridMultilevel"/>
    <w:tmpl w:val="073A8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DA90190"/>
    <w:multiLevelType w:val="hybridMultilevel"/>
    <w:tmpl w:val="D5581512"/>
    <w:lvl w:ilvl="0" w:tplc="81F660A2">
      <w:start w:val="1"/>
      <w:numFmt w:val="lowerRoman"/>
      <w:lvlText w:val="%1."/>
      <w:lvlJc w:val="left"/>
      <w:pPr>
        <w:tabs>
          <w:tab w:val="num" w:pos="1080"/>
        </w:tabs>
        <w:ind w:left="1080" w:hanging="360"/>
      </w:pPr>
      <w:rPr>
        <w:rFonts w:cs="Times New Roman" w:hint="default"/>
      </w:rPr>
    </w:lvl>
    <w:lvl w:ilvl="1" w:tplc="CA48C81C">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6">
    <w:nsid w:val="7DD47ABB"/>
    <w:multiLevelType w:val="hybridMultilevel"/>
    <w:tmpl w:val="7E92287E"/>
    <w:lvl w:ilvl="0" w:tplc="39C818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ECD5E75"/>
    <w:multiLevelType w:val="hybridMultilevel"/>
    <w:tmpl w:val="18EEE908"/>
    <w:lvl w:ilvl="0" w:tplc="8022F576">
      <w:start w:val="1"/>
      <w:numFmt w:val="decimal"/>
      <w:lvlText w:val="%1."/>
      <w:lvlJc w:val="left"/>
      <w:pPr>
        <w:tabs>
          <w:tab w:val="num" w:pos="360"/>
        </w:tabs>
        <w:ind w:left="360" w:hanging="360"/>
      </w:pPr>
      <w:rPr>
        <w:rFonts w:cs="Times New Roman"/>
        <w:color w:val="auto"/>
      </w:rPr>
    </w:lvl>
    <w:lvl w:ilvl="1" w:tplc="08090019">
      <w:start w:val="1"/>
      <w:numFmt w:val="lowerLetter"/>
      <w:lvlText w:val="%2."/>
      <w:lvlJc w:val="left"/>
      <w:pPr>
        <w:tabs>
          <w:tab w:val="num" w:pos="1814"/>
        </w:tabs>
        <w:ind w:left="1814" w:hanging="360"/>
      </w:pPr>
      <w:rPr>
        <w:rFonts w:cs="Times New Roman"/>
      </w:rPr>
    </w:lvl>
    <w:lvl w:ilvl="2" w:tplc="0809001B" w:tentative="1">
      <w:start w:val="1"/>
      <w:numFmt w:val="lowerRoman"/>
      <w:lvlText w:val="%3."/>
      <w:lvlJc w:val="right"/>
      <w:pPr>
        <w:tabs>
          <w:tab w:val="num" w:pos="2534"/>
        </w:tabs>
        <w:ind w:left="2534" w:hanging="180"/>
      </w:pPr>
      <w:rPr>
        <w:rFonts w:cs="Times New Roman"/>
      </w:rPr>
    </w:lvl>
    <w:lvl w:ilvl="3" w:tplc="0809000F" w:tentative="1">
      <w:start w:val="1"/>
      <w:numFmt w:val="decimal"/>
      <w:lvlText w:val="%4."/>
      <w:lvlJc w:val="left"/>
      <w:pPr>
        <w:tabs>
          <w:tab w:val="num" w:pos="3254"/>
        </w:tabs>
        <w:ind w:left="3254" w:hanging="360"/>
      </w:pPr>
      <w:rPr>
        <w:rFonts w:cs="Times New Roman"/>
      </w:rPr>
    </w:lvl>
    <w:lvl w:ilvl="4" w:tplc="08090019" w:tentative="1">
      <w:start w:val="1"/>
      <w:numFmt w:val="lowerLetter"/>
      <w:lvlText w:val="%5."/>
      <w:lvlJc w:val="left"/>
      <w:pPr>
        <w:tabs>
          <w:tab w:val="num" w:pos="3974"/>
        </w:tabs>
        <w:ind w:left="3974" w:hanging="360"/>
      </w:pPr>
      <w:rPr>
        <w:rFonts w:cs="Times New Roman"/>
      </w:rPr>
    </w:lvl>
    <w:lvl w:ilvl="5" w:tplc="0809001B" w:tentative="1">
      <w:start w:val="1"/>
      <w:numFmt w:val="lowerRoman"/>
      <w:lvlText w:val="%6."/>
      <w:lvlJc w:val="right"/>
      <w:pPr>
        <w:tabs>
          <w:tab w:val="num" w:pos="4694"/>
        </w:tabs>
        <w:ind w:left="4694" w:hanging="180"/>
      </w:pPr>
      <w:rPr>
        <w:rFonts w:cs="Times New Roman"/>
      </w:rPr>
    </w:lvl>
    <w:lvl w:ilvl="6" w:tplc="0809000F" w:tentative="1">
      <w:start w:val="1"/>
      <w:numFmt w:val="decimal"/>
      <w:lvlText w:val="%7."/>
      <w:lvlJc w:val="left"/>
      <w:pPr>
        <w:tabs>
          <w:tab w:val="num" w:pos="5414"/>
        </w:tabs>
        <w:ind w:left="5414" w:hanging="360"/>
      </w:pPr>
      <w:rPr>
        <w:rFonts w:cs="Times New Roman"/>
      </w:rPr>
    </w:lvl>
    <w:lvl w:ilvl="7" w:tplc="08090019" w:tentative="1">
      <w:start w:val="1"/>
      <w:numFmt w:val="lowerLetter"/>
      <w:lvlText w:val="%8."/>
      <w:lvlJc w:val="left"/>
      <w:pPr>
        <w:tabs>
          <w:tab w:val="num" w:pos="6134"/>
        </w:tabs>
        <w:ind w:left="6134" w:hanging="360"/>
      </w:pPr>
      <w:rPr>
        <w:rFonts w:cs="Times New Roman"/>
      </w:rPr>
    </w:lvl>
    <w:lvl w:ilvl="8" w:tplc="0809001B" w:tentative="1">
      <w:start w:val="1"/>
      <w:numFmt w:val="lowerRoman"/>
      <w:lvlText w:val="%9."/>
      <w:lvlJc w:val="right"/>
      <w:pPr>
        <w:tabs>
          <w:tab w:val="num" w:pos="6854"/>
        </w:tabs>
        <w:ind w:left="6854" w:hanging="180"/>
      </w:pPr>
      <w:rPr>
        <w:rFonts w:cs="Times New Roman"/>
      </w:rPr>
    </w:lvl>
  </w:abstractNum>
  <w:num w:numId="1">
    <w:abstractNumId w:val="10"/>
  </w:num>
  <w:num w:numId="2">
    <w:abstractNumId w:val="13"/>
  </w:num>
  <w:num w:numId="3">
    <w:abstractNumId w:val="12"/>
  </w:num>
  <w:num w:numId="4">
    <w:abstractNumId w:val="9"/>
  </w:num>
  <w:num w:numId="5">
    <w:abstractNumId w:val="17"/>
  </w:num>
  <w:num w:numId="6">
    <w:abstractNumId w:val="7"/>
  </w:num>
  <w:num w:numId="7">
    <w:abstractNumId w:val="4"/>
  </w:num>
  <w:num w:numId="8">
    <w:abstractNumId w:val="5"/>
  </w:num>
  <w:num w:numId="9">
    <w:abstractNumId w:val="1"/>
  </w:num>
  <w:num w:numId="10">
    <w:abstractNumId w:val="6"/>
  </w:num>
  <w:num w:numId="11">
    <w:abstractNumId w:val="14"/>
  </w:num>
  <w:num w:numId="12">
    <w:abstractNumId w:val="8"/>
  </w:num>
  <w:num w:numId="13">
    <w:abstractNumId w:val="0"/>
  </w:num>
  <w:num w:numId="14">
    <w:abstractNumId w:val="15"/>
  </w:num>
  <w:num w:numId="15">
    <w:abstractNumId w:val="2"/>
  </w:num>
  <w:num w:numId="16">
    <w:abstractNumId w:val="16"/>
  </w:num>
  <w:num w:numId="17">
    <w:abstractNumId w:val="11"/>
  </w:num>
  <w:num w:numId="1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03994"/>
    <w:rsid w:val="0004029A"/>
    <w:rsid w:val="000405EA"/>
    <w:rsid w:val="00043D09"/>
    <w:rsid w:val="00043D0B"/>
    <w:rsid w:val="0006034E"/>
    <w:rsid w:val="00063783"/>
    <w:rsid w:val="00072112"/>
    <w:rsid w:val="00073765"/>
    <w:rsid w:val="000929A6"/>
    <w:rsid w:val="00096216"/>
    <w:rsid w:val="000B5015"/>
    <w:rsid w:val="000B788F"/>
    <w:rsid w:val="000C2E54"/>
    <w:rsid w:val="000D4E36"/>
    <w:rsid w:val="000E62FE"/>
    <w:rsid w:val="001161E4"/>
    <w:rsid w:val="00116FAC"/>
    <w:rsid w:val="00125A26"/>
    <w:rsid w:val="00127C03"/>
    <w:rsid w:val="0015376F"/>
    <w:rsid w:val="001614E0"/>
    <w:rsid w:val="00164311"/>
    <w:rsid w:val="00171BD8"/>
    <w:rsid w:val="0017653E"/>
    <w:rsid w:val="00182B01"/>
    <w:rsid w:val="001840D2"/>
    <w:rsid w:val="001966D7"/>
    <w:rsid w:val="001A110D"/>
    <w:rsid w:val="001C4D2E"/>
    <w:rsid w:val="001C7E35"/>
    <w:rsid w:val="001E3C06"/>
    <w:rsid w:val="001F0037"/>
    <w:rsid w:val="001F0BE9"/>
    <w:rsid w:val="00202D79"/>
    <w:rsid w:val="00205D2F"/>
    <w:rsid w:val="00215E8F"/>
    <w:rsid w:val="002322BB"/>
    <w:rsid w:val="00246469"/>
    <w:rsid w:val="00251254"/>
    <w:rsid w:val="002548D1"/>
    <w:rsid w:val="0027283B"/>
    <w:rsid w:val="0028019B"/>
    <w:rsid w:val="00283888"/>
    <w:rsid w:val="00283CAB"/>
    <w:rsid w:val="00287A3C"/>
    <w:rsid w:val="0029445E"/>
    <w:rsid w:val="002A3FEF"/>
    <w:rsid w:val="002B54A6"/>
    <w:rsid w:val="002D0E5E"/>
    <w:rsid w:val="002F3EE9"/>
    <w:rsid w:val="002F6C46"/>
    <w:rsid w:val="00307F76"/>
    <w:rsid w:val="00321FBB"/>
    <w:rsid w:val="00333FAA"/>
    <w:rsid w:val="003355D7"/>
    <w:rsid w:val="00346E35"/>
    <w:rsid w:val="0036201C"/>
    <w:rsid w:val="00376768"/>
    <w:rsid w:val="003A5B36"/>
    <w:rsid w:val="003A5CAA"/>
    <w:rsid w:val="003F3AFD"/>
    <w:rsid w:val="004076C8"/>
    <w:rsid w:val="004207E3"/>
    <w:rsid w:val="00421A4C"/>
    <w:rsid w:val="00423117"/>
    <w:rsid w:val="004238C2"/>
    <w:rsid w:val="004306C6"/>
    <w:rsid w:val="00435B5D"/>
    <w:rsid w:val="004363F7"/>
    <w:rsid w:val="0044525C"/>
    <w:rsid w:val="00445C31"/>
    <w:rsid w:val="004553F1"/>
    <w:rsid w:val="00471C1F"/>
    <w:rsid w:val="004809FA"/>
    <w:rsid w:val="00492F90"/>
    <w:rsid w:val="004A09C0"/>
    <w:rsid w:val="004C4A75"/>
    <w:rsid w:val="004D2DA0"/>
    <w:rsid w:val="004E14A4"/>
    <w:rsid w:val="004F54BD"/>
    <w:rsid w:val="004F56C5"/>
    <w:rsid w:val="005354D0"/>
    <w:rsid w:val="0054172C"/>
    <w:rsid w:val="0054590F"/>
    <w:rsid w:val="005459EC"/>
    <w:rsid w:val="005718B5"/>
    <w:rsid w:val="005808FB"/>
    <w:rsid w:val="00582605"/>
    <w:rsid w:val="00591016"/>
    <w:rsid w:val="00594A15"/>
    <w:rsid w:val="005A0C5C"/>
    <w:rsid w:val="005B3F67"/>
    <w:rsid w:val="005D548F"/>
    <w:rsid w:val="005D6EF5"/>
    <w:rsid w:val="005E3A10"/>
    <w:rsid w:val="005E7509"/>
    <w:rsid w:val="005F4153"/>
    <w:rsid w:val="00636E9B"/>
    <w:rsid w:val="00645B8B"/>
    <w:rsid w:val="00655044"/>
    <w:rsid w:val="00660EB0"/>
    <w:rsid w:val="00666922"/>
    <w:rsid w:val="00670F17"/>
    <w:rsid w:val="006710C7"/>
    <w:rsid w:val="00696A83"/>
    <w:rsid w:val="006A6E6E"/>
    <w:rsid w:val="006B7D6C"/>
    <w:rsid w:val="006C580A"/>
    <w:rsid w:val="006D1E69"/>
    <w:rsid w:val="006F057C"/>
    <w:rsid w:val="006F22DA"/>
    <w:rsid w:val="006F2EB3"/>
    <w:rsid w:val="006F59D7"/>
    <w:rsid w:val="007116B1"/>
    <w:rsid w:val="00714BEE"/>
    <w:rsid w:val="00721215"/>
    <w:rsid w:val="007400CF"/>
    <w:rsid w:val="007622B2"/>
    <w:rsid w:val="0079298F"/>
    <w:rsid w:val="007957E6"/>
    <w:rsid w:val="007B23FC"/>
    <w:rsid w:val="007D0C1D"/>
    <w:rsid w:val="007D2000"/>
    <w:rsid w:val="007D4DBF"/>
    <w:rsid w:val="007E4732"/>
    <w:rsid w:val="007E4BA4"/>
    <w:rsid w:val="007F004E"/>
    <w:rsid w:val="007F335A"/>
    <w:rsid w:val="007F7FE6"/>
    <w:rsid w:val="00803104"/>
    <w:rsid w:val="00812901"/>
    <w:rsid w:val="008206E4"/>
    <w:rsid w:val="00826B9A"/>
    <w:rsid w:val="0085266D"/>
    <w:rsid w:val="008A5AA0"/>
    <w:rsid w:val="008C1967"/>
    <w:rsid w:val="008E224D"/>
    <w:rsid w:val="00904034"/>
    <w:rsid w:val="0092530B"/>
    <w:rsid w:val="0094208C"/>
    <w:rsid w:val="00942F17"/>
    <w:rsid w:val="00952CEF"/>
    <w:rsid w:val="00955421"/>
    <w:rsid w:val="00990E9C"/>
    <w:rsid w:val="00994542"/>
    <w:rsid w:val="00994908"/>
    <w:rsid w:val="009A1DE8"/>
    <w:rsid w:val="009B160B"/>
    <w:rsid w:val="009B2CA4"/>
    <w:rsid w:val="009C237B"/>
    <w:rsid w:val="009E5A93"/>
    <w:rsid w:val="00A15375"/>
    <w:rsid w:val="00A20113"/>
    <w:rsid w:val="00A20D78"/>
    <w:rsid w:val="00A2215F"/>
    <w:rsid w:val="00A22839"/>
    <w:rsid w:val="00A23E19"/>
    <w:rsid w:val="00A33185"/>
    <w:rsid w:val="00A53B04"/>
    <w:rsid w:val="00A612DD"/>
    <w:rsid w:val="00A661F4"/>
    <w:rsid w:val="00A7271A"/>
    <w:rsid w:val="00A81E19"/>
    <w:rsid w:val="00A8239A"/>
    <w:rsid w:val="00AB795F"/>
    <w:rsid w:val="00AC6312"/>
    <w:rsid w:val="00AD6D80"/>
    <w:rsid w:val="00AF7373"/>
    <w:rsid w:val="00B1160D"/>
    <w:rsid w:val="00B229EB"/>
    <w:rsid w:val="00B408E6"/>
    <w:rsid w:val="00B444E6"/>
    <w:rsid w:val="00B52011"/>
    <w:rsid w:val="00B53EFF"/>
    <w:rsid w:val="00B54AFA"/>
    <w:rsid w:val="00B61F90"/>
    <w:rsid w:val="00B671A4"/>
    <w:rsid w:val="00B804E8"/>
    <w:rsid w:val="00BC206C"/>
    <w:rsid w:val="00BC431A"/>
    <w:rsid w:val="00BE5779"/>
    <w:rsid w:val="00BF0E89"/>
    <w:rsid w:val="00C01A35"/>
    <w:rsid w:val="00C03772"/>
    <w:rsid w:val="00C04EDA"/>
    <w:rsid w:val="00C119A2"/>
    <w:rsid w:val="00C2581D"/>
    <w:rsid w:val="00C5090A"/>
    <w:rsid w:val="00C57267"/>
    <w:rsid w:val="00C62B63"/>
    <w:rsid w:val="00C64A6E"/>
    <w:rsid w:val="00C72B5B"/>
    <w:rsid w:val="00CA02C6"/>
    <w:rsid w:val="00CC2FD5"/>
    <w:rsid w:val="00CD50F5"/>
    <w:rsid w:val="00CD7D5D"/>
    <w:rsid w:val="00CF0FC4"/>
    <w:rsid w:val="00CF6932"/>
    <w:rsid w:val="00D01FE3"/>
    <w:rsid w:val="00D06CA3"/>
    <w:rsid w:val="00D07F46"/>
    <w:rsid w:val="00D170E5"/>
    <w:rsid w:val="00D37F2F"/>
    <w:rsid w:val="00D415B9"/>
    <w:rsid w:val="00D42440"/>
    <w:rsid w:val="00D528E8"/>
    <w:rsid w:val="00D67667"/>
    <w:rsid w:val="00D771D0"/>
    <w:rsid w:val="00D835CF"/>
    <w:rsid w:val="00DA26FB"/>
    <w:rsid w:val="00DB6C3D"/>
    <w:rsid w:val="00DC5ACF"/>
    <w:rsid w:val="00DC7FD5"/>
    <w:rsid w:val="00DD02B3"/>
    <w:rsid w:val="00DD7468"/>
    <w:rsid w:val="00DE25E9"/>
    <w:rsid w:val="00DE396C"/>
    <w:rsid w:val="00DE71D3"/>
    <w:rsid w:val="00DE72CF"/>
    <w:rsid w:val="00DF08A0"/>
    <w:rsid w:val="00E70760"/>
    <w:rsid w:val="00E9253C"/>
    <w:rsid w:val="00EB45B5"/>
    <w:rsid w:val="00EB5E57"/>
    <w:rsid w:val="00EB61DB"/>
    <w:rsid w:val="00ED4AFD"/>
    <w:rsid w:val="00EE4FBE"/>
    <w:rsid w:val="00F30904"/>
    <w:rsid w:val="00F41E43"/>
    <w:rsid w:val="00F5649A"/>
    <w:rsid w:val="00F67DC5"/>
    <w:rsid w:val="00F81E64"/>
    <w:rsid w:val="00F82342"/>
    <w:rsid w:val="00F877DB"/>
    <w:rsid w:val="00F91AE4"/>
    <w:rsid w:val="00F93C8B"/>
    <w:rsid w:val="00F959DD"/>
    <w:rsid w:val="00F960D5"/>
    <w:rsid w:val="00FA62F8"/>
    <w:rsid w:val="00FB1231"/>
    <w:rsid w:val="00FC1C5C"/>
    <w:rsid w:val="00FD6D36"/>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595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character" w:customStyle="1" w:styleId="Heading2Char">
    <w:name w:val="Heading 2 Char"/>
    <w:link w:val="Heading2"/>
    <w:uiPriority w:val="9"/>
    <w:locked/>
    <w:rsid w:val="00DC7FD5"/>
    <w:rPr>
      <w:rFonts w:ascii="Arial" w:hAnsi="Arial" w:cs="Arial"/>
      <w:b/>
      <w:bCs/>
      <w:sz w:val="28"/>
      <w:szCs w:val="32"/>
      <w:lang w:eastAsia="en-US"/>
    </w:rPr>
  </w:style>
  <w:style w:type="paragraph" w:styleId="BalloonText">
    <w:name w:val="Balloon Text"/>
    <w:basedOn w:val="Normal"/>
    <w:link w:val="BalloonTextChar"/>
    <w:rsid w:val="005F4153"/>
    <w:rPr>
      <w:rFonts w:ascii="Tahoma" w:hAnsi="Tahoma" w:cs="Tahoma"/>
      <w:sz w:val="16"/>
      <w:szCs w:val="16"/>
    </w:rPr>
  </w:style>
  <w:style w:type="character" w:customStyle="1" w:styleId="BalloonTextChar">
    <w:name w:val="Balloon Text Char"/>
    <w:basedOn w:val="DefaultParagraphFont"/>
    <w:link w:val="BalloonText"/>
    <w:rsid w:val="005F4153"/>
    <w:rPr>
      <w:rFonts w:ascii="Tahoma" w:hAnsi="Tahoma" w:cs="Tahoma"/>
      <w:sz w:val="16"/>
      <w:szCs w:val="16"/>
      <w:lang w:eastAsia="en-US"/>
    </w:rPr>
  </w:style>
  <w:style w:type="character" w:styleId="CommentReference">
    <w:name w:val="annotation reference"/>
    <w:basedOn w:val="DefaultParagraphFont"/>
    <w:rsid w:val="000C2E54"/>
    <w:rPr>
      <w:sz w:val="16"/>
    </w:rPr>
  </w:style>
  <w:style w:type="paragraph" w:styleId="CommentText">
    <w:name w:val="annotation text"/>
    <w:basedOn w:val="Normal"/>
    <w:link w:val="CommentTextChar"/>
    <w:rsid w:val="000C2E54"/>
    <w:rPr>
      <w:sz w:val="20"/>
    </w:rPr>
  </w:style>
  <w:style w:type="character" w:customStyle="1" w:styleId="CommentTextChar">
    <w:name w:val="Comment Text Char"/>
    <w:basedOn w:val="DefaultParagraphFont"/>
    <w:link w:val="CommentText"/>
    <w:rsid w:val="000C2E54"/>
    <w:rPr>
      <w:rFonts w:ascii="Arial" w:hAnsi="Arial"/>
      <w:lang w:eastAsia="en-US"/>
    </w:rPr>
  </w:style>
  <w:style w:type="paragraph" w:styleId="CommentSubject">
    <w:name w:val="annotation subject"/>
    <w:basedOn w:val="CommentText"/>
    <w:next w:val="CommentText"/>
    <w:link w:val="CommentSubjectChar"/>
    <w:semiHidden/>
    <w:unhideWhenUsed/>
    <w:rsid w:val="00116FAC"/>
    <w:rPr>
      <w:b/>
      <w:bCs/>
    </w:rPr>
  </w:style>
  <w:style w:type="character" w:customStyle="1" w:styleId="CommentSubjectChar">
    <w:name w:val="Comment Subject Char"/>
    <w:basedOn w:val="CommentTextChar"/>
    <w:link w:val="CommentSubject"/>
    <w:semiHidden/>
    <w:rsid w:val="00116FAC"/>
    <w:rPr>
      <w:rFonts w:ascii="Arial" w:hAnsi="Arial"/>
      <w:b/>
      <w:bCs/>
      <w:lang w:eastAsia="en-US"/>
    </w:rPr>
  </w:style>
  <w:style w:type="table" w:customStyle="1" w:styleId="Style1">
    <w:name w:val="Style1"/>
    <w:basedOn w:val="TableNormal"/>
    <w:uiPriority w:val="99"/>
    <w:rsid w:val="00BF0E89"/>
    <w:rPr>
      <w:rFonts w:ascii="Arial" w:hAnsi="Arial"/>
      <w:sz w:val="24"/>
    </w:rPr>
    <w:tblPr/>
    <w:tcPr>
      <w:shd w:val="clear" w:color="auto" w:fill="FFFFFF" w:themeFill="background1"/>
    </w:tcPr>
  </w:style>
  <w:style w:type="character" w:customStyle="1" w:styleId="UnresolvedMention">
    <w:name w:val="Unresolved Mention"/>
    <w:basedOn w:val="DefaultParagraphFont"/>
    <w:uiPriority w:val="99"/>
    <w:semiHidden/>
    <w:unhideWhenUsed/>
    <w:rsid w:val="00BF0E8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character" w:customStyle="1" w:styleId="Heading2Char">
    <w:name w:val="Heading 2 Char"/>
    <w:link w:val="Heading2"/>
    <w:uiPriority w:val="9"/>
    <w:locked/>
    <w:rsid w:val="00DC7FD5"/>
    <w:rPr>
      <w:rFonts w:ascii="Arial" w:hAnsi="Arial" w:cs="Arial"/>
      <w:b/>
      <w:bCs/>
      <w:sz w:val="28"/>
      <w:szCs w:val="32"/>
      <w:lang w:eastAsia="en-US"/>
    </w:rPr>
  </w:style>
  <w:style w:type="paragraph" w:styleId="BalloonText">
    <w:name w:val="Balloon Text"/>
    <w:basedOn w:val="Normal"/>
    <w:link w:val="BalloonTextChar"/>
    <w:rsid w:val="005F4153"/>
    <w:rPr>
      <w:rFonts w:ascii="Tahoma" w:hAnsi="Tahoma" w:cs="Tahoma"/>
      <w:sz w:val="16"/>
      <w:szCs w:val="16"/>
    </w:rPr>
  </w:style>
  <w:style w:type="character" w:customStyle="1" w:styleId="BalloonTextChar">
    <w:name w:val="Balloon Text Char"/>
    <w:basedOn w:val="DefaultParagraphFont"/>
    <w:link w:val="BalloonText"/>
    <w:rsid w:val="005F4153"/>
    <w:rPr>
      <w:rFonts w:ascii="Tahoma" w:hAnsi="Tahoma" w:cs="Tahoma"/>
      <w:sz w:val="16"/>
      <w:szCs w:val="16"/>
      <w:lang w:eastAsia="en-US"/>
    </w:rPr>
  </w:style>
  <w:style w:type="character" w:styleId="CommentReference">
    <w:name w:val="annotation reference"/>
    <w:basedOn w:val="DefaultParagraphFont"/>
    <w:rsid w:val="000C2E54"/>
    <w:rPr>
      <w:sz w:val="16"/>
    </w:rPr>
  </w:style>
  <w:style w:type="paragraph" w:styleId="CommentText">
    <w:name w:val="annotation text"/>
    <w:basedOn w:val="Normal"/>
    <w:link w:val="CommentTextChar"/>
    <w:rsid w:val="000C2E54"/>
    <w:rPr>
      <w:sz w:val="20"/>
    </w:rPr>
  </w:style>
  <w:style w:type="character" w:customStyle="1" w:styleId="CommentTextChar">
    <w:name w:val="Comment Text Char"/>
    <w:basedOn w:val="DefaultParagraphFont"/>
    <w:link w:val="CommentText"/>
    <w:rsid w:val="000C2E54"/>
    <w:rPr>
      <w:rFonts w:ascii="Arial" w:hAnsi="Arial"/>
      <w:lang w:eastAsia="en-US"/>
    </w:rPr>
  </w:style>
  <w:style w:type="paragraph" w:styleId="CommentSubject">
    <w:name w:val="annotation subject"/>
    <w:basedOn w:val="CommentText"/>
    <w:next w:val="CommentText"/>
    <w:link w:val="CommentSubjectChar"/>
    <w:semiHidden/>
    <w:unhideWhenUsed/>
    <w:rsid w:val="00116FAC"/>
    <w:rPr>
      <w:b/>
      <w:bCs/>
    </w:rPr>
  </w:style>
  <w:style w:type="character" w:customStyle="1" w:styleId="CommentSubjectChar">
    <w:name w:val="Comment Subject Char"/>
    <w:basedOn w:val="CommentTextChar"/>
    <w:link w:val="CommentSubject"/>
    <w:semiHidden/>
    <w:rsid w:val="00116FAC"/>
    <w:rPr>
      <w:rFonts w:ascii="Arial" w:hAnsi="Arial"/>
      <w:b/>
      <w:bCs/>
      <w:lang w:eastAsia="en-US"/>
    </w:rPr>
  </w:style>
  <w:style w:type="table" w:customStyle="1" w:styleId="Style1">
    <w:name w:val="Style1"/>
    <w:basedOn w:val="TableNormal"/>
    <w:uiPriority w:val="99"/>
    <w:rsid w:val="00BF0E89"/>
    <w:rPr>
      <w:rFonts w:ascii="Arial" w:hAnsi="Arial"/>
      <w:sz w:val="24"/>
    </w:rPr>
    <w:tblPr/>
    <w:tcPr>
      <w:shd w:val="clear" w:color="auto" w:fill="FFFFFF" w:themeFill="background1"/>
    </w:tcPr>
  </w:style>
  <w:style w:type="character" w:customStyle="1" w:styleId="UnresolvedMention">
    <w:name w:val="Unresolved Mention"/>
    <w:basedOn w:val="DefaultParagraphFont"/>
    <w:uiPriority w:val="99"/>
    <w:semiHidden/>
    <w:unhideWhenUsed/>
    <w:rsid w:val="00BF0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fern.silverio@harrow.gov.uk"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2.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11bda97-64e7-4000-91fd-dcaad77bf85d" ContentTypeId="0x0101000226E4B75CFA47B488D2CEFE4DCFDD64AD"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54c1341a-f0b2-450a-9883-97eea039321e"/>
  </ds:schemaRefs>
</ds:datastoreItem>
</file>

<file path=customXml/itemProps2.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6.xml><?xml version="1.0" encoding="utf-8"?>
<ds:datastoreItem xmlns:ds="http://schemas.openxmlformats.org/officeDocument/2006/customXml" ds:itemID="{26DDE76B-C669-40D2-82CB-3655E4F7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1180</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7810</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NNikolov</cp:lastModifiedBy>
  <cp:revision>6</cp:revision>
  <cp:lastPrinted>2014-10-31T16:34:00Z</cp:lastPrinted>
  <dcterms:created xsi:type="dcterms:W3CDTF">2021-04-26T11:25:00Z</dcterms:created>
  <dcterms:modified xsi:type="dcterms:W3CDTF">2021-05-19T14:53:00Z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